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24F1" w14:textId="5764CCA3" w:rsidR="0030002E" w:rsidRPr="0030002E" w:rsidRDefault="0030002E" w:rsidP="0006655C">
      <w:pPr>
        <w:spacing w:after="200" w:line="276" w:lineRule="auto"/>
        <w:jc w:val="center"/>
        <w:rPr>
          <w:rFonts w:eastAsia="Calibri" w:cstheme="minorHAnsi"/>
          <w:b/>
        </w:rPr>
      </w:pPr>
      <w:r w:rsidRPr="0030002E">
        <w:rPr>
          <w:rFonts w:eastAsia="Calibri" w:cstheme="minorHAnsi"/>
          <w:b/>
        </w:rPr>
        <w:t>Active Healthy Kids Report Card Scotland 2020</w:t>
      </w:r>
      <w:r>
        <w:rPr>
          <w:rFonts w:eastAsia="Calibri" w:cstheme="minorHAnsi"/>
          <w:b/>
        </w:rPr>
        <w:t xml:space="preserve">. </w:t>
      </w:r>
      <w:r w:rsidRPr="0030002E">
        <w:rPr>
          <w:rFonts w:eastAsia="Calibri" w:cstheme="minorHAnsi"/>
          <w:b/>
        </w:rPr>
        <w:t xml:space="preserve">Draft Report Card Grades for Consultation in May-June </w:t>
      </w:r>
      <w:r w:rsidR="00FF54F7" w:rsidRPr="0030002E">
        <w:rPr>
          <w:rFonts w:eastAsia="Calibri" w:cstheme="minorHAnsi"/>
          <w:b/>
        </w:rPr>
        <w:t>202</w:t>
      </w:r>
      <w:r w:rsidR="00FF54F7">
        <w:rPr>
          <w:rFonts w:eastAsia="Calibri" w:cstheme="minorHAnsi"/>
          <w:b/>
        </w:rPr>
        <w:t>1</w:t>
      </w:r>
      <w:r w:rsidRPr="0030002E">
        <w:rPr>
          <w:rFonts w:eastAsia="Calibri" w:cstheme="minorHAnsi"/>
          <w:b/>
        </w:rPr>
        <w:t>.</w:t>
      </w:r>
    </w:p>
    <w:p w14:paraId="0D8D75A0" w14:textId="1DA8C75E" w:rsidR="0030002E" w:rsidRPr="0030002E" w:rsidRDefault="0030002E" w:rsidP="0006655C">
      <w:pPr>
        <w:spacing w:after="200" w:line="276" w:lineRule="auto"/>
        <w:rPr>
          <w:rFonts w:eastAsia="Calibri" w:cstheme="minorHAnsi"/>
        </w:rPr>
      </w:pPr>
      <w:r w:rsidRPr="0030002E">
        <w:rPr>
          <w:rFonts w:eastAsia="Calibri" w:cstheme="minorHAnsi"/>
        </w:rPr>
        <w:t xml:space="preserve">The fourth Active Healthy Kids Scotland Report Card </w:t>
      </w:r>
      <w:hyperlink r:id="rId11" w:history="1">
        <w:r w:rsidRPr="00B170EE">
          <w:rPr>
            <w:rStyle w:val="Hyperlink"/>
            <w:rFonts w:eastAsia="Calibri" w:cstheme="minorHAnsi"/>
          </w:rPr>
          <w:t>www.activehealthykidsscotland.co.uk</w:t>
        </w:r>
      </w:hyperlink>
      <w:r>
        <w:rPr>
          <w:rFonts w:eastAsia="Calibri" w:cstheme="minorHAnsi"/>
          <w:color w:val="0000FF"/>
          <w:u w:val="single"/>
        </w:rPr>
        <w:t xml:space="preserve"> </w:t>
      </w:r>
      <w:r>
        <w:rPr>
          <w:rFonts w:eastAsia="Calibri" w:cstheme="minorHAnsi"/>
        </w:rPr>
        <w:t xml:space="preserve">will be published at the end of </w:t>
      </w:r>
      <w:r w:rsidRPr="0030002E">
        <w:rPr>
          <w:rFonts w:eastAsia="Calibri" w:cstheme="minorHAnsi"/>
        </w:rPr>
        <w:t xml:space="preserve">June </w:t>
      </w:r>
      <w:r w:rsidR="00FF54F7" w:rsidRPr="0030002E">
        <w:rPr>
          <w:rFonts w:eastAsia="Calibri" w:cstheme="minorHAnsi"/>
        </w:rPr>
        <w:t>202</w:t>
      </w:r>
      <w:r w:rsidR="00FF54F7">
        <w:rPr>
          <w:rFonts w:eastAsia="Calibri" w:cstheme="minorHAnsi"/>
        </w:rPr>
        <w:t>1</w:t>
      </w:r>
      <w:r w:rsidRPr="0030002E">
        <w:rPr>
          <w:rFonts w:eastAsia="Calibri" w:cstheme="minorHAnsi"/>
        </w:rPr>
        <w:t>. This is a Knowledge Exchange proj</w:t>
      </w:r>
      <w:r w:rsidR="0006655C">
        <w:rPr>
          <w:rFonts w:eastAsia="Calibri" w:cstheme="minorHAnsi"/>
        </w:rPr>
        <w:t xml:space="preserve">ect based on </w:t>
      </w:r>
      <w:r>
        <w:rPr>
          <w:rFonts w:eastAsia="Calibri" w:cstheme="minorHAnsi"/>
        </w:rPr>
        <w:t>methodology</w:t>
      </w:r>
      <w:r w:rsidR="0006655C">
        <w:rPr>
          <w:rFonts w:eastAsia="Calibri" w:cstheme="minorHAnsi"/>
        </w:rPr>
        <w:t xml:space="preserve"> which has bee</w:t>
      </w:r>
      <w:r w:rsidR="00A63896">
        <w:rPr>
          <w:rFonts w:eastAsia="Calibri" w:cstheme="minorHAnsi"/>
        </w:rPr>
        <w:t xml:space="preserve">n published, </w:t>
      </w:r>
      <w:r w:rsidR="0006655C">
        <w:rPr>
          <w:rFonts w:eastAsia="Calibri" w:cstheme="minorHAnsi"/>
        </w:rPr>
        <w:t>standardised for global use since 2014</w:t>
      </w:r>
      <w:r w:rsidR="00A63896">
        <w:rPr>
          <w:rFonts w:eastAsia="Calibri" w:cstheme="minorHAnsi"/>
        </w:rPr>
        <w:t>, and used in over 70 countries so far</w:t>
      </w:r>
      <w:r>
        <w:rPr>
          <w:rFonts w:eastAsia="Calibri" w:cstheme="minorHAnsi"/>
        </w:rPr>
        <w:t xml:space="preserve">. The 2020 report card </w:t>
      </w:r>
      <w:r w:rsidRPr="0030002E">
        <w:rPr>
          <w:rFonts w:eastAsia="Calibri" w:cstheme="minorHAnsi"/>
        </w:rPr>
        <w:t>will</w:t>
      </w:r>
      <w:r>
        <w:rPr>
          <w:rFonts w:eastAsia="Calibri" w:cstheme="minorHAnsi"/>
        </w:rPr>
        <w:t xml:space="preserve"> be a</w:t>
      </w:r>
      <w:r w:rsidRPr="0030002E">
        <w:rPr>
          <w:rFonts w:eastAsia="Calibri" w:cstheme="minorHAnsi"/>
        </w:rPr>
        <w:t xml:space="preserve"> ‘state of the nation’</w:t>
      </w:r>
      <w:r>
        <w:rPr>
          <w:rFonts w:eastAsia="Calibri" w:cstheme="minorHAnsi"/>
        </w:rPr>
        <w:t xml:space="preserve"> snapshot of childhood and adolescence in </w:t>
      </w:r>
      <w:r w:rsidRPr="0030002E">
        <w:rPr>
          <w:rFonts w:eastAsia="Calibri" w:cstheme="minorHAnsi"/>
        </w:rPr>
        <w:t xml:space="preserve">Scotland </w:t>
      </w:r>
      <w:r>
        <w:rPr>
          <w:rFonts w:eastAsia="Calibri" w:cstheme="minorHAnsi"/>
        </w:rPr>
        <w:t>just prior to the Covid-1</w:t>
      </w:r>
      <w:r w:rsidR="0006655C">
        <w:rPr>
          <w:rFonts w:eastAsia="Calibri" w:cstheme="minorHAnsi"/>
        </w:rPr>
        <w:t>9 pandemic in 2020. The 2020 report card</w:t>
      </w:r>
      <w:r w:rsidRPr="0030002E">
        <w:rPr>
          <w:rFonts w:eastAsia="Calibri" w:cstheme="minorHAnsi"/>
        </w:rPr>
        <w:t xml:space="preserve"> will also be inclu</w:t>
      </w:r>
      <w:r>
        <w:rPr>
          <w:rFonts w:eastAsia="Calibri" w:cstheme="minorHAnsi"/>
        </w:rPr>
        <w:t>ded as part of an International</w:t>
      </w:r>
      <w:r w:rsidRPr="0030002E">
        <w:rPr>
          <w:rFonts w:eastAsia="Calibri" w:cstheme="minorHAnsi"/>
        </w:rPr>
        <w:t xml:space="preserve"> ‘Global Matrix’ of Active Hea</w:t>
      </w:r>
      <w:r w:rsidR="008A4029">
        <w:rPr>
          <w:rFonts w:eastAsia="Calibri" w:cstheme="minorHAnsi"/>
        </w:rPr>
        <w:t xml:space="preserve">lthy Kids Report Cards from 60 </w:t>
      </w:r>
      <w:r w:rsidRPr="0030002E">
        <w:rPr>
          <w:rFonts w:eastAsia="Calibri" w:cstheme="minorHAnsi"/>
        </w:rPr>
        <w:t>nations towards the end of 2022 (</w:t>
      </w:r>
      <w:hyperlink r:id="rId12" w:history="1">
        <w:r w:rsidRPr="0030002E">
          <w:rPr>
            <w:rFonts w:eastAsia="Calibri" w:cstheme="minorHAnsi"/>
            <w:color w:val="0000FF"/>
            <w:u w:val="single"/>
          </w:rPr>
          <w:t>www.activehealthykids.org</w:t>
        </w:r>
      </w:hyperlink>
      <w:r w:rsidRPr="0030002E">
        <w:rPr>
          <w:rFonts w:eastAsia="Calibri" w:cstheme="minorHAnsi"/>
        </w:rPr>
        <w:t xml:space="preserve">). </w:t>
      </w:r>
    </w:p>
    <w:p w14:paraId="07EFE973" w14:textId="54435A16" w:rsidR="0030002E" w:rsidRDefault="0030002E" w:rsidP="0006655C">
      <w:pPr>
        <w:spacing w:after="200" w:line="276" w:lineRule="auto"/>
        <w:rPr>
          <w:rFonts w:eastAsia="Calibri" w:cstheme="minorHAnsi"/>
        </w:rPr>
      </w:pPr>
      <w:r w:rsidRPr="0006655C">
        <w:rPr>
          <w:rFonts w:eastAsia="Calibri" w:cstheme="minorHAnsi"/>
        </w:rPr>
        <w:t>A research group (Prof John Reilly</w:t>
      </w:r>
      <w:r w:rsidR="00231FBB">
        <w:rPr>
          <w:rFonts w:eastAsia="Calibri" w:cstheme="minorHAnsi"/>
        </w:rPr>
        <w:t xml:space="preserve"> and </w:t>
      </w:r>
      <w:r w:rsidRPr="0006655C">
        <w:rPr>
          <w:rFonts w:eastAsia="Calibri" w:cstheme="minorHAnsi"/>
        </w:rPr>
        <w:t>Dr Farid Bardid</w:t>
      </w:r>
      <w:r w:rsidR="00231FBB">
        <w:rPr>
          <w:rFonts w:eastAsia="Calibri" w:cstheme="minorHAnsi"/>
        </w:rPr>
        <w:t>,</w:t>
      </w:r>
      <w:r w:rsidRPr="0006655C">
        <w:rPr>
          <w:rFonts w:eastAsia="Calibri" w:cstheme="minorHAnsi"/>
        </w:rPr>
        <w:t xml:space="preserve"> University of Strathclyde; Dr Leone Craig and Ms Jenni Robertson</w:t>
      </w:r>
      <w:r w:rsidR="00231FBB">
        <w:rPr>
          <w:rFonts w:eastAsia="Calibri" w:cstheme="minorHAnsi"/>
        </w:rPr>
        <w:t>,</w:t>
      </w:r>
      <w:r w:rsidR="00927DB3">
        <w:rPr>
          <w:rFonts w:eastAsia="Calibri" w:cstheme="minorHAnsi"/>
        </w:rPr>
        <w:t xml:space="preserve"> Robert Gordons University</w:t>
      </w:r>
      <w:r w:rsidRPr="0006655C">
        <w:rPr>
          <w:rFonts w:eastAsia="Calibri" w:cstheme="minorHAnsi"/>
        </w:rPr>
        <w:t xml:space="preserve">; Dr Simone Tomaz, University of Glasgow; Dr Avril </w:t>
      </w:r>
      <w:r w:rsidR="00F26071">
        <w:rPr>
          <w:rFonts w:eastAsia="Calibri" w:cstheme="minorHAnsi"/>
        </w:rPr>
        <w:t xml:space="preserve">Johnstone </w:t>
      </w:r>
      <w:r w:rsidRPr="0006655C">
        <w:rPr>
          <w:rFonts w:eastAsia="Calibri" w:cstheme="minorHAnsi"/>
        </w:rPr>
        <w:t xml:space="preserve">, MRC Social and Public Health Sciences Unit/University of Glasgow) identified and assessed </w:t>
      </w:r>
      <w:r w:rsidR="00927DB3">
        <w:rPr>
          <w:rFonts w:eastAsia="Calibri" w:cstheme="minorHAnsi"/>
        </w:rPr>
        <w:t xml:space="preserve">published </w:t>
      </w:r>
      <w:r w:rsidRPr="0006655C">
        <w:rPr>
          <w:rFonts w:eastAsia="Calibri" w:cstheme="minorHAnsi"/>
        </w:rPr>
        <w:t xml:space="preserve">sources of data for the 2020 Scottish report card and have produced the draft grades. </w:t>
      </w:r>
    </w:p>
    <w:p w14:paraId="32A1BF58" w14:textId="730CEEDB" w:rsidR="00927DB3" w:rsidRDefault="00927DB3" w:rsidP="0006655C">
      <w:pPr>
        <w:spacing w:after="200" w:line="276" w:lineRule="auto"/>
        <w:rPr>
          <w:rFonts w:eastAsia="Calibri" w:cstheme="minorHAnsi"/>
        </w:rPr>
      </w:pPr>
      <w:r>
        <w:rPr>
          <w:rFonts w:eastAsia="Calibri" w:cstheme="minorHAnsi"/>
        </w:rPr>
        <w:t>We are asking you to comment on any or all of the indicators we have graded using Microsoft Forms available from the link</w:t>
      </w:r>
    </w:p>
    <w:p w14:paraId="387FCC62" w14:textId="77777777" w:rsidR="00927DB3" w:rsidRDefault="00927DB3" w:rsidP="0006655C">
      <w:pPr>
        <w:spacing w:after="200" w:line="276" w:lineRule="auto"/>
        <w:rPr>
          <w:rFonts w:eastAsia="Calibri" w:cstheme="minorHAnsi"/>
        </w:rPr>
      </w:pPr>
    </w:p>
    <w:p w14:paraId="52343BC6" w14:textId="224D4CBA" w:rsidR="00927DB3" w:rsidRPr="0006655C" w:rsidRDefault="00927DB3" w:rsidP="0006655C">
      <w:pPr>
        <w:spacing w:after="200" w:line="276" w:lineRule="auto"/>
        <w:rPr>
          <w:rFonts w:eastAsia="Calibri" w:cstheme="minorHAnsi"/>
          <w:b/>
        </w:rPr>
      </w:pPr>
      <w:r>
        <w:rPr>
          <w:rFonts w:eastAsia="Calibri" w:cstheme="minorHAnsi"/>
        </w:rPr>
        <w:t>There are the following three questions (1-3) for each indicator, and at the end you are invited to comment on any indicators which are not curr</w:t>
      </w:r>
      <w:r w:rsidR="008A4029">
        <w:rPr>
          <w:rFonts w:eastAsia="Calibri" w:cstheme="minorHAnsi"/>
        </w:rPr>
        <w:t>ently in the report card</w:t>
      </w:r>
      <w:r>
        <w:rPr>
          <w:rFonts w:eastAsia="Calibri" w:cstheme="minorHAnsi"/>
        </w:rPr>
        <w:t xml:space="preserve"> which you think we should include in future.</w:t>
      </w:r>
    </w:p>
    <w:p w14:paraId="6D9596F6" w14:textId="77777777" w:rsidR="00927DB3" w:rsidRPr="0006655C" w:rsidRDefault="00927DB3" w:rsidP="00927DB3">
      <w:pPr>
        <w:numPr>
          <w:ilvl w:val="0"/>
          <w:numId w:val="14"/>
        </w:numPr>
        <w:spacing w:after="200" w:line="276" w:lineRule="auto"/>
        <w:contextualSpacing/>
        <w:rPr>
          <w:rFonts w:eastAsia="Calibri" w:cstheme="minorHAnsi"/>
          <w:b/>
          <w:i/>
        </w:rPr>
      </w:pPr>
      <w:r w:rsidRPr="0006655C">
        <w:rPr>
          <w:rFonts w:eastAsia="Calibri" w:cstheme="minorHAnsi"/>
          <w:b/>
          <w:i/>
        </w:rPr>
        <w:t>Do you agree or disagree with our draft grades ?</w:t>
      </w:r>
    </w:p>
    <w:p w14:paraId="1ECD3EF3" w14:textId="77777777" w:rsidR="00927DB3" w:rsidRPr="0006655C" w:rsidRDefault="00927DB3" w:rsidP="00927DB3">
      <w:pPr>
        <w:numPr>
          <w:ilvl w:val="0"/>
          <w:numId w:val="14"/>
        </w:numPr>
        <w:spacing w:after="200" w:line="276" w:lineRule="auto"/>
        <w:contextualSpacing/>
        <w:rPr>
          <w:rFonts w:eastAsia="Calibri" w:cstheme="minorHAnsi"/>
          <w:b/>
          <w:i/>
        </w:rPr>
      </w:pPr>
      <w:r w:rsidRPr="0006655C">
        <w:rPr>
          <w:rFonts w:eastAsia="Calibri" w:cstheme="minorHAnsi"/>
          <w:b/>
          <w:i/>
        </w:rPr>
        <w:t>Are you aware of any relevant data sources we have missed ?</w:t>
      </w:r>
    </w:p>
    <w:p w14:paraId="42F4B330" w14:textId="77777777" w:rsidR="00927DB3" w:rsidRPr="0006655C" w:rsidRDefault="00927DB3" w:rsidP="00927DB3">
      <w:pPr>
        <w:numPr>
          <w:ilvl w:val="0"/>
          <w:numId w:val="14"/>
        </w:numPr>
        <w:spacing w:after="200" w:line="276" w:lineRule="auto"/>
        <w:contextualSpacing/>
        <w:rPr>
          <w:rFonts w:eastAsia="Calibri" w:cstheme="minorHAnsi"/>
          <w:b/>
          <w:i/>
        </w:rPr>
      </w:pPr>
      <w:r w:rsidRPr="0006655C">
        <w:rPr>
          <w:rFonts w:eastAsia="Calibri" w:cstheme="minorHAnsi"/>
          <w:b/>
          <w:i/>
        </w:rPr>
        <w:t>Have we misinterpreted any data ?</w:t>
      </w:r>
    </w:p>
    <w:p w14:paraId="56363EB1" w14:textId="0FE83259" w:rsidR="00927DB3" w:rsidRPr="00927DB3" w:rsidRDefault="00927DB3" w:rsidP="00927DB3">
      <w:pPr>
        <w:pStyle w:val="ListParagraph"/>
        <w:numPr>
          <w:ilvl w:val="0"/>
          <w:numId w:val="14"/>
        </w:numPr>
        <w:spacing w:after="200" w:line="276" w:lineRule="auto"/>
        <w:rPr>
          <w:rFonts w:eastAsia="Calibri" w:cstheme="minorHAnsi"/>
          <w:b/>
          <w:i/>
        </w:rPr>
      </w:pPr>
      <w:r w:rsidRPr="00927DB3">
        <w:rPr>
          <w:rFonts w:eastAsia="Calibri" w:cstheme="minorHAnsi"/>
          <w:b/>
          <w:i/>
        </w:rPr>
        <w:t xml:space="preserve">Are there any indicators not included in the 2020 report card which should be included next time round </w:t>
      </w:r>
      <w:r w:rsidR="0030002E" w:rsidRPr="00927DB3">
        <w:rPr>
          <w:rFonts w:eastAsia="Calibri" w:cstheme="minorHAnsi"/>
          <w:b/>
          <w:i/>
        </w:rPr>
        <w:t>Comments are required by 15</w:t>
      </w:r>
      <w:r w:rsidR="0030002E" w:rsidRPr="00927DB3">
        <w:rPr>
          <w:rFonts w:eastAsia="Calibri" w:cstheme="minorHAnsi"/>
          <w:b/>
          <w:i/>
          <w:vertAlign w:val="superscript"/>
        </w:rPr>
        <w:t>th</w:t>
      </w:r>
      <w:r w:rsidR="0030002E" w:rsidRPr="00927DB3">
        <w:rPr>
          <w:rFonts w:eastAsia="Calibri" w:cstheme="minorHAnsi"/>
          <w:b/>
          <w:i/>
        </w:rPr>
        <w:t xml:space="preserve"> June, and should be provided via our project website </w:t>
      </w:r>
    </w:p>
    <w:p w14:paraId="7C93A932" w14:textId="39DE7537" w:rsidR="00927DB3" w:rsidRDefault="00F1041F" w:rsidP="00927DB3">
      <w:pPr>
        <w:spacing w:after="200" w:line="276" w:lineRule="auto"/>
        <w:rPr>
          <w:rFonts w:eastAsia="Calibri" w:cstheme="minorHAnsi"/>
          <w:b/>
          <w:i/>
        </w:rPr>
      </w:pPr>
      <w:hyperlink r:id="rId13" w:history="1">
        <w:r w:rsidR="00927DB3" w:rsidRPr="0019024A">
          <w:rPr>
            <w:rStyle w:val="Hyperlink"/>
            <w:rFonts w:eastAsia="Calibri" w:cstheme="minorHAnsi"/>
            <w:b/>
            <w:i/>
          </w:rPr>
          <w:t>www.activehealthykidsscotland.co.uk</w:t>
        </w:r>
      </w:hyperlink>
    </w:p>
    <w:p w14:paraId="2FC57485" w14:textId="34AA26A8" w:rsidR="0030002E" w:rsidRPr="0006655C" w:rsidRDefault="0030002E" w:rsidP="0006655C">
      <w:pPr>
        <w:spacing w:after="200" w:line="276" w:lineRule="auto"/>
        <w:rPr>
          <w:rFonts w:eastAsia="Calibri" w:cstheme="minorHAnsi"/>
          <w:b/>
          <w:i/>
        </w:rPr>
      </w:pPr>
      <w:r w:rsidRPr="0006655C">
        <w:rPr>
          <w:rFonts w:eastAsia="Calibri" w:cstheme="minorHAnsi"/>
          <w:b/>
          <w:i/>
        </w:rPr>
        <w:t>You can provide feedback on any or all of the individual grades.</w:t>
      </w:r>
    </w:p>
    <w:p w14:paraId="498318C7" w14:textId="6C137D86" w:rsidR="0006655C" w:rsidRPr="0006655C" w:rsidRDefault="0030002E" w:rsidP="0006655C">
      <w:pPr>
        <w:spacing w:after="200" w:line="276" w:lineRule="auto"/>
        <w:rPr>
          <w:rFonts w:eastAsia="Calibri" w:cstheme="minorHAnsi"/>
          <w:b/>
          <w:i/>
        </w:rPr>
      </w:pPr>
      <w:r w:rsidRPr="0006655C">
        <w:rPr>
          <w:rFonts w:eastAsia="Calibri" w:cstheme="minorHAnsi"/>
          <w:b/>
          <w:i/>
        </w:rPr>
        <w:t>If you want to discuss the grades/provide more detailed feedback</w:t>
      </w:r>
      <w:r w:rsidR="00231FBB">
        <w:rPr>
          <w:rFonts w:eastAsia="Calibri" w:cstheme="minorHAnsi"/>
          <w:b/>
          <w:i/>
        </w:rPr>
        <w:t>,</w:t>
      </w:r>
      <w:r w:rsidRPr="0006655C">
        <w:rPr>
          <w:rFonts w:eastAsia="Calibri" w:cstheme="minorHAnsi"/>
          <w:b/>
          <w:i/>
        </w:rPr>
        <w:t xml:space="preserve"> </w:t>
      </w:r>
      <w:r w:rsidR="0006655C" w:rsidRPr="0006655C">
        <w:rPr>
          <w:rFonts w:eastAsia="Calibri" w:cstheme="minorHAnsi"/>
          <w:b/>
          <w:i/>
        </w:rPr>
        <w:t>the group which produced the grades will be availab</w:t>
      </w:r>
      <w:r w:rsidR="0006655C">
        <w:rPr>
          <w:rFonts w:eastAsia="Calibri" w:cstheme="minorHAnsi"/>
          <w:b/>
          <w:i/>
        </w:rPr>
        <w:t>le to discuss them in two drop-</w:t>
      </w:r>
      <w:r w:rsidR="0006655C" w:rsidRPr="0006655C">
        <w:rPr>
          <w:rFonts w:eastAsia="Calibri" w:cstheme="minorHAnsi"/>
          <w:b/>
          <w:i/>
        </w:rPr>
        <w:t xml:space="preserve">in sessions on Zoom </w:t>
      </w:r>
      <w:r w:rsidR="0006655C">
        <w:rPr>
          <w:rFonts w:eastAsia="Calibri" w:cstheme="minorHAnsi"/>
          <w:b/>
          <w:i/>
        </w:rPr>
        <w:t>(Monday 21</w:t>
      </w:r>
      <w:r w:rsidR="0006655C" w:rsidRPr="0006655C">
        <w:rPr>
          <w:rFonts w:eastAsia="Calibri" w:cstheme="minorHAnsi"/>
          <w:b/>
          <w:i/>
          <w:vertAlign w:val="superscript"/>
        </w:rPr>
        <w:t>st</w:t>
      </w:r>
      <w:r w:rsidR="0006655C">
        <w:rPr>
          <w:rFonts w:eastAsia="Calibri" w:cstheme="minorHAnsi"/>
          <w:b/>
          <w:i/>
        </w:rPr>
        <w:t xml:space="preserve"> June am and Thursday 24</w:t>
      </w:r>
      <w:r w:rsidR="0006655C" w:rsidRPr="0006655C">
        <w:rPr>
          <w:rFonts w:eastAsia="Calibri" w:cstheme="minorHAnsi"/>
          <w:b/>
          <w:i/>
          <w:vertAlign w:val="superscript"/>
        </w:rPr>
        <w:t>th</w:t>
      </w:r>
      <w:r w:rsidR="0006655C">
        <w:rPr>
          <w:rFonts w:eastAsia="Calibri" w:cstheme="minorHAnsi"/>
          <w:b/>
          <w:i/>
        </w:rPr>
        <w:t xml:space="preserve"> June pm)- further details from Prof John Reilly (</w:t>
      </w:r>
      <w:hyperlink r:id="rId14" w:history="1">
        <w:r w:rsidR="0006655C" w:rsidRPr="00B170EE">
          <w:rPr>
            <w:rStyle w:val="Hyperlink"/>
            <w:rFonts w:eastAsia="Calibri" w:cstheme="minorHAnsi"/>
            <w:b/>
            <w:i/>
          </w:rPr>
          <w:t>john.j.reilly@strath.ac.uk</w:t>
        </w:r>
      </w:hyperlink>
      <w:r w:rsidR="0006655C">
        <w:rPr>
          <w:rFonts w:eastAsia="Calibri" w:cstheme="minorHAnsi"/>
          <w:b/>
          <w:i/>
        </w:rPr>
        <w:t>)</w:t>
      </w:r>
    </w:p>
    <w:p w14:paraId="5ED3014A" w14:textId="77777777" w:rsidR="0030002E" w:rsidRDefault="0030002E" w:rsidP="0006655C">
      <w:pPr>
        <w:spacing w:after="200" w:line="276" w:lineRule="auto"/>
        <w:rPr>
          <w:rFonts w:ascii="Times New Roman" w:eastAsia="Calibri" w:hAnsi="Times New Roman" w:cs="Times New Roman"/>
          <w:b/>
          <w:i/>
        </w:rPr>
      </w:pPr>
    </w:p>
    <w:p w14:paraId="4AC15F1E" w14:textId="688C061A" w:rsidR="0030002E" w:rsidRPr="0030002E" w:rsidRDefault="0030002E" w:rsidP="0006655C">
      <w:pPr>
        <w:spacing w:after="200" w:line="276" w:lineRule="auto"/>
        <w:rPr>
          <w:rFonts w:ascii="Times New Roman" w:eastAsia="Calibri" w:hAnsi="Times New Roman" w:cs="Times New Roman"/>
          <w:i/>
        </w:rPr>
      </w:pPr>
      <w:r w:rsidRPr="0030002E">
        <w:rPr>
          <w:rFonts w:ascii="Times New Roman" w:eastAsia="Calibri" w:hAnsi="Times New Roman" w:cs="Times New Roman"/>
          <w:b/>
          <w:i/>
        </w:rPr>
        <w:t>Many thanks for your help.</w:t>
      </w:r>
    </w:p>
    <w:p w14:paraId="150337BB" w14:textId="14602615" w:rsidR="0006655C" w:rsidRDefault="0006655C" w:rsidP="001B6C86">
      <w:pPr>
        <w:spacing w:after="240" w:line="240" w:lineRule="auto"/>
        <w:jc w:val="center"/>
        <w:rPr>
          <w:b/>
          <w:u w:val="single"/>
        </w:rPr>
      </w:pPr>
    </w:p>
    <w:p w14:paraId="0157662E" w14:textId="72A85BFE" w:rsidR="00927DB3" w:rsidRDefault="00927DB3" w:rsidP="00927DB3">
      <w:pPr>
        <w:rPr>
          <w:b/>
          <w:u w:val="single"/>
        </w:rPr>
      </w:pPr>
    </w:p>
    <w:p w14:paraId="2B6552EB" w14:textId="3788E5CC" w:rsidR="00422EE4" w:rsidRDefault="00422EE4" w:rsidP="00927DB3">
      <w:pPr>
        <w:spacing w:after="240" w:line="240" w:lineRule="auto"/>
        <w:rPr>
          <w:b/>
          <w:u w:val="single"/>
        </w:rPr>
      </w:pPr>
    </w:p>
    <w:p w14:paraId="05A26E98" w14:textId="5FD24207" w:rsidR="00927DB3" w:rsidRDefault="00927DB3" w:rsidP="001B6C86">
      <w:pPr>
        <w:spacing w:after="240" w:line="240" w:lineRule="auto"/>
        <w:jc w:val="center"/>
        <w:rPr>
          <w:b/>
          <w:u w:val="single"/>
        </w:rPr>
      </w:pPr>
      <w:r>
        <w:rPr>
          <w:b/>
          <w:u w:val="single"/>
        </w:rPr>
        <w:t>SUMMARY OF PUBLISHED DATA SOURCES FOR THE 2020 ACTIVE HEALTHY KIDS SCOTLAND REPORT CARD</w:t>
      </w:r>
    </w:p>
    <w:p w14:paraId="4979B1DB" w14:textId="0ABC2006" w:rsidR="009073D1" w:rsidRPr="009073D1" w:rsidRDefault="00422EE4" w:rsidP="00422EE4">
      <w:pPr>
        <w:spacing w:after="120" w:line="240" w:lineRule="auto"/>
        <w:rPr>
          <w:color w:val="0563C1" w:themeColor="hyperlink"/>
          <w:u w:val="single"/>
        </w:rPr>
      </w:pPr>
      <w:r>
        <w:t>This</w:t>
      </w:r>
      <w:r w:rsidR="7E2ED486">
        <w:t xml:space="preserve"> </w:t>
      </w:r>
      <w:r>
        <w:t>document provides detailed information on all the data sources used to grade the indicators</w:t>
      </w:r>
      <w:r w:rsidR="00CE5728">
        <w:t xml:space="preserve">, </w:t>
      </w:r>
      <w:r>
        <w:t>why</w:t>
      </w:r>
      <w:r w:rsidR="00CE5728">
        <w:t xml:space="preserve"> and how</w:t>
      </w:r>
      <w:r>
        <w:t xml:space="preserve"> they were used, and a summary of the findings. Scottish data and proposed g</w:t>
      </w:r>
      <w:r w:rsidR="00354051">
        <w:t>rades are explained.</w:t>
      </w:r>
      <w:r>
        <w:t xml:space="preserve"> For further information/background on methodology (including data sources which could not be used and the reasons for that)</w:t>
      </w:r>
      <w:r w:rsidR="00A011F7">
        <w:t>,</w:t>
      </w:r>
      <w:r>
        <w:t xml:space="preserve"> please refer to </w:t>
      </w:r>
      <w:r w:rsidR="009073D1">
        <w:t xml:space="preserve">information from the Active Healthy Kids Global Alliance </w:t>
      </w:r>
      <w:hyperlink r:id="rId15" w:history="1">
        <w:r w:rsidR="009073D1" w:rsidRPr="00ED0612">
          <w:rPr>
            <w:rStyle w:val="Hyperlink"/>
          </w:rPr>
          <w:t>www.activehealthykids.org</w:t>
        </w:r>
      </w:hyperlink>
      <w:r w:rsidR="009073D1">
        <w:t xml:space="preserve"> and </w:t>
      </w:r>
      <w:r>
        <w:t>previous Active Healthy Kids Scotland Report Cards (2013</w:t>
      </w:r>
      <w:r w:rsidR="00A011F7">
        <w:t>, 2016</w:t>
      </w:r>
      <w:r>
        <w:t>, 2018)</w:t>
      </w:r>
      <w:r w:rsidR="00354051">
        <w:t xml:space="preserve"> </w:t>
      </w:r>
      <w:hyperlink r:id="rId16">
        <w:r w:rsidRPr="5625EDB7">
          <w:rPr>
            <w:rStyle w:val="Hyperlink"/>
          </w:rPr>
          <w:t>www.activehealthykidsscotland.co.uk</w:t>
        </w:r>
      </w:hyperlink>
      <w:r w:rsidR="009073D1">
        <w:rPr>
          <w:rStyle w:val="Hyperlink"/>
        </w:rPr>
        <w:t xml:space="preserve"> </w:t>
      </w:r>
    </w:p>
    <w:p w14:paraId="27A7CC27" w14:textId="181BCA46" w:rsidR="00422EE4" w:rsidRDefault="009073D1" w:rsidP="00422EE4">
      <w:pPr>
        <w:spacing w:after="120" w:line="240" w:lineRule="auto"/>
      </w:pPr>
      <w:r>
        <w:t>In summary,</w:t>
      </w:r>
    </w:p>
    <w:p w14:paraId="6B4FAA1D" w14:textId="52913EB6" w:rsidR="00422EE4" w:rsidRDefault="00422EE4" w:rsidP="00422EE4">
      <w:pPr>
        <w:pStyle w:val="ListParagraph"/>
        <w:numPr>
          <w:ilvl w:val="0"/>
          <w:numId w:val="1"/>
        </w:numPr>
        <w:spacing w:after="0" w:line="240" w:lineRule="auto"/>
      </w:pPr>
      <w:r w:rsidRPr="00507438">
        <w:t xml:space="preserve">We </w:t>
      </w:r>
      <w:r>
        <w:t xml:space="preserve">searched </w:t>
      </w:r>
      <w:r w:rsidRPr="00507438">
        <w:t xml:space="preserve">for </w:t>
      </w:r>
      <w:r w:rsidR="008A4029">
        <w:t xml:space="preserve">published </w:t>
      </w:r>
      <w:r w:rsidRPr="00507438">
        <w:t>evide</w:t>
      </w:r>
      <w:r>
        <w:t>nce/data sources from end 2018</w:t>
      </w:r>
      <w:r w:rsidRPr="00507438">
        <w:t xml:space="preserve"> o</w:t>
      </w:r>
      <w:r w:rsidR="008A4029">
        <w:t>nwards (</w:t>
      </w:r>
      <w:r w:rsidRPr="00507438">
        <w:t>this is when we stopped searchi</w:t>
      </w:r>
      <w:r>
        <w:t>ng for data sources for the 2018</w:t>
      </w:r>
      <w:r w:rsidRPr="00507438">
        <w:t xml:space="preserve"> report card</w:t>
      </w:r>
      <w:r>
        <w:t>).</w:t>
      </w:r>
    </w:p>
    <w:p w14:paraId="6A3E1258" w14:textId="605C1E62" w:rsidR="00422EE4" w:rsidRPr="00507438" w:rsidRDefault="00422EE4" w:rsidP="00422EE4">
      <w:pPr>
        <w:pStyle w:val="ListParagraph"/>
        <w:numPr>
          <w:ilvl w:val="0"/>
          <w:numId w:val="1"/>
        </w:numPr>
        <w:spacing w:after="0" w:line="240" w:lineRule="auto"/>
      </w:pPr>
      <w:r w:rsidRPr="691BBDFC">
        <w:rPr>
          <w:b/>
          <w:bCs/>
        </w:rPr>
        <w:t>We excluded data obtained since Covid-19 lockdown in March</w:t>
      </w:r>
      <w:r w:rsidR="009073D1">
        <w:rPr>
          <w:b/>
          <w:bCs/>
        </w:rPr>
        <w:t xml:space="preserve"> 2020</w:t>
      </w:r>
      <w:r w:rsidR="00231FBB">
        <w:rPr>
          <w:b/>
          <w:bCs/>
        </w:rPr>
        <w:t xml:space="preserve"> </w:t>
      </w:r>
      <w:r w:rsidR="009073D1">
        <w:rPr>
          <w:b/>
          <w:bCs/>
        </w:rPr>
        <w:t>-</w:t>
      </w:r>
      <w:r w:rsidR="00231FBB">
        <w:rPr>
          <w:b/>
          <w:bCs/>
        </w:rPr>
        <w:t xml:space="preserve"> </w:t>
      </w:r>
      <w:r w:rsidR="009073D1">
        <w:rPr>
          <w:b/>
          <w:bCs/>
        </w:rPr>
        <w:t>data collection during Cov</w:t>
      </w:r>
      <w:r w:rsidRPr="691BBDFC">
        <w:rPr>
          <w:b/>
          <w:bCs/>
        </w:rPr>
        <w:t>id-19 lockdown has been patchy, and a future report card will consider the impact of lockdown on the grades</w:t>
      </w:r>
      <w:r w:rsidR="008106F8">
        <w:rPr>
          <w:b/>
          <w:bCs/>
        </w:rPr>
        <w:t xml:space="preserve"> (in some other countries Covid-19 has had a devastating impact on a number of the grades) </w:t>
      </w:r>
      <w:r w:rsidRPr="691BBDFC">
        <w:rPr>
          <w:b/>
          <w:bCs/>
        </w:rPr>
        <w:t>.</w:t>
      </w:r>
    </w:p>
    <w:p w14:paraId="6A52A4E4" w14:textId="42C3624F" w:rsidR="00422EE4" w:rsidRDefault="00422EE4" w:rsidP="00422EE4">
      <w:pPr>
        <w:pStyle w:val="ListParagraph"/>
        <w:numPr>
          <w:ilvl w:val="0"/>
          <w:numId w:val="1"/>
        </w:numPr>
        <w:spacing w:after="0" w:line="240" w:lineRule="auto"/>
      </w:pPr>
      <w:r>
        <w:t>To be used for grading, d</w:t>
      </w:r>
      <w:r w:rsidRPr="00507438">
        <w:t>ata need</w:t>
      </w:r>
      <w:r>
        <w:t>ed</w:t>
      </w:r>
      <w:r w:rsidRPr="00507438">
        <w:t xml:space="preserve"> to be recent </w:t>
      </w:r>
      <w:r>
        <w:t>(end 2018</w:t>
      </w:r>
      <w:r w:rsidRPr="00507438">
        <w:t xml:space="preserve"> onwards), nationally representative</w:t>
      </w:r>
      <w:r w:rsidR="009073D1">
        <w:t>,</w:t>
      </w:r>
      <w:r w:rsidRPr="00507438">
        <w:t xml:space="preserve"> and affected by minimal bias (i.e. the method used to measure the indicator does not greatly overestimate or under-estimate the prevalence of the behaviour).</w:t>
      </w:r>
      <w:r w:rsidR="00231FBB">
        <w:t xml:space="preserve"> </w:t>
      </w:r>
      <w:r w:rsidR="00A43BBA">
        <w:t>Available data are critiqued by the report card working group in order to assess representativeness and risk of bias.</w:t>
      </w:r>
      <w:r w:rsidRPr="00507438">
        <w:t xml:space="preserve"> </w:t>
      </w:r>
    </w:p>
    <w:p w14:paraId="7F8CA062" w14:textId="0FCD3C34" w:rsidR="00422EE4" w:rsidRPr="00D861BF" w:rsidRDefault="00422EE4" w:rsidP="00B91ED0">
      <w:pPr>
        <w:pStyle w:val="ListParagraph"/>
        <w:numPr>
          <w:ilvl w:val="0"/>
          <w:numId w:val="1"/>
        </w:numPr>
        <w:spacing w:line="240" w:lineRule="auto"/>
      </w:pPr>
      <w:r>
        <w:t>Grading is based on data from children and adolescents aged 2 to 18 years and inequalities/differen</w:t>
      </w:r>
      <w:r w:rsidR="009073D1">
        <w:t>ces considered by age, gender,</w:t>
      </w:r>
      <w:r>
        <w:t xml:space="preserve"> </w:t>
      </w:r>
      <w:r w:rsidR="5CBD1F52">
        <w:t xml:space="preserve">socio-economic </w:t>
      </w:r>
      <w:r>
        <w:t>deprivation</w:t>
      </w:r>
      <w:r w:rsidR="12C23A47">
        <w:t>, ethnicity, chronic disease and disability</w:t>
      </w:r>
      <w:r>
        <w:t xml:space="preserve"> where possible. </w:t>
      </w:r>
    </w:p>
    <w:p w14:paraId="3CE20BEA" w14:textId="4CA340E2" w:rsidR="00F7712B" w:rsidRPr="009073D1" w:rsidRDefault="00F7712B" w:rsidP="009073D1">
      <w:pPr>
        <w:autoSpaceDE w:val="0"/>
        <w:autoSpaceDN w:val="0"/>
        <w:adjustRightInd w:val="0"/>
        <w:spacing w:after="0" w:line="240" w:lineRule="auto"/>
        <w:rPr>
          <w:rFonts w:ascii="Calibri" w:hAnsi="Calibri" w:cs="Calibri"/>
          <w:color w:val="000000"/>
          <w:sz w:val="24"/>
          <w:szCs w:val="24"/>
        </w:rPr>
      </w:pPr>
      <w:bookmarkStart w:id="0" w:name="_Toc530040555"/>
      <w:bookmarkStart w:id="1" w:name="_Toc530040873"/>
      <w:bookmarkStart w:id="2" w:name="_Toc530040891"/>
    </w:p>
    <w:p w14:paraId="46EFDCE2" w14:textId="77777777" w:rsidR="00F7712B" w:rsidRPr="00F7712B" w:rsidRDefault="00F7712B" w:rsidP="00F7712B">
      <w:p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 xml:space="preserve">The grades were determined by the % of children and adolescents meeting an evidence-based benchmark using the grading scheme below. </w:t>
      </w:r>
    </w:p>
    <w:p w14:paraId="14D6D705" w14:textId="720C2D30" w:rsid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A+ = 94%</w:t>
      </w:r>
      <w:r>
        <w:t>-</w:t>
      </w:r>
      <w:r>
        <w:rPr>
          <w:rFonts w:ascii="Calibri" w:hAnsi="Calibri" w:cs="Calibri"/>
          <w:color w:val="000000"/>
        </w:rPr>
        <w:t>100%</w:t>
      </w:r>
    </w:p>
    <w:p w14:paraId="7AF9B1E0" w14:textId="6FBF3165"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 xml:space="preserve">A = We are succeeding with a large majority of children (87%-93%) </w:t>
      </w:r>
    </w:p>
    <w:p w14:paraId="5829CE2B" w14:textId="133A841A"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A- = 80%</w:t>
      </w:r>
      <w:r>
        <w:t>-</w:t>
      </w:r>
      <w:r w:rsidRPr="00F7712B">
        <w:rPr>
          <w:rFonts w:ascii="Calibri" w:hAnsi="Calibri" w:cs="Calibri"/>
          <w:color w:val="000000"/>
        </w:rPr>
        <w:t xml:space="preserve">86% </w:t>
      </w:r>
    </w:p>
    <w:p w14:paraId="56D721C2" w14:textId="6635A76E"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B+ = 74%</w:t>
      </w:r>
      <w:r>
        <w:t>-</w:t>
      </w:r>
      <w:r w:rsidRPr="00F7712B">
        <w:rPr>
          <w:rFonts w:ascii="Calibri" w:hAnsi="Calibri" w:cs="Calibri"/>
          <w:color w:val="000000"/>
        </w:rPr>
        <w:t xml:space="preserve">79% </w:t>
      </w:r>
    </w:p>
    <w:p w14:paraId="1636FD06" w14:textId="77777777"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 xml:space="preserve">B = We are succeeding with well over half of children (67%-73%) </w:t>
      </w:r>
    </w:p>
    <w:p w14:paraId="56959815" w14:textId="7DCEEF61"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B- = 60%</w:t>
      </w:r>
      <w:r>
        <w:t>-</w:t>
      </w:r>
      <w:r w:rsidRPr="00F7712B">
        <w:rPr>
          <w:rFonts w:ascii="Calibri" w:hAnsi="Calibri" w:cs="Calibri"/>
          <w:color w:val="000000"/>
        </w:rPr>
        <w:t xml:space="preserve">66% </w:t>
      </w:r>
    </w:p>
    <w:p w14:paraId="43F853B7" w14:textId="5F95996E"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C+ = 54%</w:t>
      </w:r>
      <w:r>
        <w:t>-</w:t>
      </w:r>
      <w:r w:rsidRPr="00F7712B">
        <w:rPr>
          <w:rFonts w:ascii="Calibri" w:hAnsi="Calibri" w:cs="Calibri"/>
          <w:color w:val="000000"/>
        </w:rPr>
        <w:t xml:space="preserve">59% </w:t>
      </w:r>
    </w:p>
    <w:p w14:paraId="28B07783" w14:textId="77777777"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 xml:space="preserve">C = We are succeeding with about half of children (47%-53%) </w:t>
      </w:r>
    </w:p>
    <w:p w14:paraId="14E5A2E0" w14:textId="66CF31D1"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C- = 40%</w:t>
      </w:r>
      <w:r>
        <w:t>-</w:t>
      </w:r>
      <w:r w:rsidRPr="00F7712B">
        <w:rPr>
          <w:rFonts w:ascii="Calibri" w:hAnsi="Calibri" w:cs="Calibri"/>
          <w:color w:val="000000"/>
        </w:rPr>
        <w:t xml:space="preserve">46% </w:t>
      </w:r>
    </w:p>
    <w:p w14:paraId="48A62D63" w14:textId="532285B1"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D+ = 34%</w:t>
      </w:r>
      <w:r>
        <w:t>-</w:t>
      </w:r>
      <w:r w:rsidRPr="00F7712B">
        <w:rPr>
          <w:rFonts w:ascii="Calibri" w:hAnsi="Calibri" w:cs="Calibri"/>
          <w:color w:val="000000"/>
        </w:rPr>
        <w:t xml:space="preserve">39% </w:t>
      </w:r>
    </w:p>
    <w:p w14:paraId="2A2809C8" w14:textId="77777777"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 xml:space="preserve">D = We are succeeding with less than half of children (27%-33%) </w:t>
      </w:r>
    </w:p>
    <w:p w14:paraId="5D0BF6D3" w14:textId="09C3F149" w:rsidR="00F7712B" w:rsidRP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D- = 20%</w:t>
      </w:r>
      <w:r>
        <w:t>-</w:t>
      </w:r>
      <w:r w:rsidRPr="00F7712B">
        <w:rPr>
          <w:rFonts w:ascii="Calibri" w:hAnsi="Calibri" w:cs="Calibri"/>
          <w:color w:val="000000"/>
        </w:rPr>
        <w:t xml:space="preserve">26% </w:t>
      </w:r>
    </w:p>
    <w:p w14:paraId="5DAAA698" w14:textId="77777777" w:rsidR="00F7712B"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 xml:space="preserve">F = We are succeeding with very few of children (&lt;20%) </w:t>
      </w:r>
    </w:p>
    <w:p w14:paraId="35283AD9" w14:textId="1DA019AB" w:rsidR="00180B47" w:rsidRDefault="00F7712B" w:rsidP="00F7712B">
      <w:pPr>
        <w:pStyle w:val="ListParagraph"/>
        <w:numPr>
          <w:ilvl w:val="0"/>
          <w:numId w:val="1"/>
        </w:numPr>
        <w:autoSpaceDE w:val="0"/>
        <w:autoSpaceDN w:val="0"/>
        <w:adjustRightInd w:val="0"/>
        <w:spacing w:after="0" w:line="240" w:lineRule="auto"/>
        <w:rPr>
          <w:rFonts w:ascii="Calibri" w:hAnsi="Calibri" w:cs="Calibri"/>
          <w:color w:val="000000"/>
        </w:rPr>
      </w:pPr>
      <w:r w:rsidRPr="00F7712B">
        <w:rPr>
          <w:rFonts w:ascii="Calibri" w:hAnsi="Calibri" w:cs="Calibri"/>
          <w:color w:val="000000"/>
        </w:rPr>
        <w:t xml:space="preserve">INC = Incomplete Grade, where Scottish data were not available or were insufficient/inadequate to assign a grade </w:t>
      </w:r>
    </w:p>
    <w:p w14:paraId="22057EB4" w14:textId="7BBCFCD3" w:rsidR="001A4110" w:rsidRDefault="001A4110" w:rsidP="001A4110">
      <w:pPr>
        <w:autoSpaceDE w:val="0"/>
        <w:autoSpaceDN w:val="0"/>
        <w:adjustRightInd w:val="0"/>
        <w:spacing w:after="0" w:line="240" w:lineRule="auto"/>
        <w:rPr>
          <w:rFonts w:ascii="Calibri" w:hAnsi="Calibri" w:cs="Calibri"/>
          <w:color w:val="000000"/>
        </w:rPr>
      </w:pPr>
    </w:p>
    <w:p w14:paraId="6ED07DFC" w14:textId="4A3BD86A" w:rsidR="00180B47" w:rsidRPr="0090264A" w:rsidRDefault="00180B47">
      <w:pPr>
        <w:rPr>
          <w:rFonts w:ascii="Calibri" w:hAnsi="Calibri" w:cs="Calibri"/>
          <w:color w:val="000000"/>
        </w:rPr>
      </w:pPr>
    </w:p>
    <w:p w14:paraId="6A007F0B" w14:textId="357903B9" w:rsidR="00180B47" w:rsidRDefault="00180B47">
      <w:pPr>
        <w:rPr>
          <w:rFonts w:ascii="Calibri" w:hAnsi="Calibri" w:cs="Calibri"/>
          <w:color w:val="000000"/>
        </w:rPr>
      </w:pPr>
      <w:r>
        <w:rPr>
          <w:rFonts w:ascii="Calibri" w:hAnsi="Calibri" w:cs="Calibri"/>
          <w:color w:val="000000"/>
        </w:rPr>
        <w:br w:type="page"/>
      </w:r>
    </w:p>
    <w:p w14:paraId="6B721CA1" w14:textId="4EC99D8E" w:rsidR="000D14FE" w:rsidRPr="008817AD" w:rsidRDefault="00A43BBA" w:rsidP="691BBDFC">
      <w:pPr>
        <w:rPr>
          <w:b/>
          <w:bCs/>
          <w:sz w:val="32"/>
          <w:szCs w:val="32"/>
          <w:lang w:eastAsia="en-GB"/>
        </w:rPr>
      </w:pPr>
      <w:r>
        <w:rPr>
          <w:b/>
          <w:bCs/>
          <w:sz w:val="32"/>
          <w:szCs w:val="32"/>
          <w:lang w:eastAsia="en-GB"/>
        </w:rPr>
        <w:t>Draft</w:t>
      </w:r>
      <w:r w:rsidR="00980368">
        <w:rPr>
          <w:b/>
          <w:bCs/>
          <w:sz w:val="32"/>
          <w:szCs w:val="32"/>
          <w:lang w:eastAsia="en-GB"/>
        </w:rPr>
        <w:t xml:space="preserve"> G</w:t>
      </w:r>
      <w:r w:rsidR="008817AD" w:rsidRPr="691BBDFC">
        <w:rPr>
          <w:b/>
          <w:bCs/>
          <w:sz w:val="32"/>
          <w:szCs w:val="32"/>
          <w:lang w:eastAsia="en-GB"/>
        </w:rPr>
        <w:t>rades</w:t>
      </w:r>
      <w:r w:rsidR="00980368">
        <w:rPr>
          <w:b/>
          <w:bCs/>
          <w:sz w:val="32"/>
          <w:szCs w:val="32"/>
          <w:lang w:eastAsia="en-GB"/>
        </w:rPr>
        <w:t xml:space="preserve"> S</w:t>
      </w:r>
      <w:r w:rsidR="45A0381A" w:rsidRPr="691BBDFC">
        <w:rPr>
          <w:b/>
          <w:bCs/>
          <w:sz w:val="32"/>
          <w:szCs w:val="32"/>
          <w:lang w:eastAsia="en-GB"/>
        </w:rPr>
        <w:t xml:space="preserve">ummary </w:t>
      </w:r>
      <w:r w:rsidR="00534DFC">
        <w:rPr>
          <w:b/>
          <w:bCs/>
          <w:sz w:val="32"/>
          <w:szCs w:val="32"/>
          <w:lang w:eastAsia="en-GB"/>
        </w:rPr>
        <w:t>and Evidence of Inequalities in Grades</w:t>
      </w:r>
    </w:p>
    <w:tbl>
      <w:tblPr>
        <w:tblStyle w:val="TableGrid"/>
        <w:tblW w:w="0" w:type="auto"/>
        <w:tblLook w:val="04A0" w:firstRow="1" w:lastRow="0" w:firstColumn="1" w:lastColumn="0" w:noHBand="0" w:noVBand="1"/>
      </w:tblPr>
      <w:tblGrid>
        <w:gridCol w:w="3149"/>
        <w:gridCol w:w="2894"/>
        <w:gridCol w:w="79"/>
        <w:gridCol w:w="2894"/>
      </w:tblGrid>
      <w:tr w:rsidR="000D14FE" w:rsidRPr="00180B47" w14:paraId="1945BB48" w14:textId="739A4291" w:rsidTr="008106F8">
        <w:tc>
          <w:tcPr>
            <w:tcW w:w="3149" w:type="dxa"/>
            <w:vAlign w:val="center"/>
          </w:tcPr>
          <w:p w14:paraId="0D820741" w14:textId="3A26FBC0" w:rsidR="000D14FE" w:rsidRPr="00180B47" w:rsidRDefault="000D14FE" w:rsidP="4D612737">
            <w:pPr>
              <w:spacing w:before="60" w:after="60"/>
              <w:rPr>
                <w:b/>
                <w:bCs/>
                <w:lang w:eastAsia="en-GB"/>
              </w:rPr>
            </w:pPr>
            <w:r w:rsidRPr="4D612737">
              <w:rPr>
                <w:b/>
                <w:bCs/>
                <w:lang w:eastAsia="en-GB"/>
              </w:rPr>
              <w:t>Indicator</w:t>
            </w:r>
          </w:p>
        </w:tc>
        <w:tc>
          <w:tcPr>
            <w:tcW w:w="2894" w:type="dxa"/>
            <w:vAlign w:val="center"/>
          </w:tcPr>
          <w:p w14:paraId="505CF592" w14:textId="232721A6" w:rsidR="000D14FE" w:rsidRPr="00180B47" w:rsidRDefault="00A43BBA" w:rsidP="4D612737">
            <w:pPr>
              <w:spacing w:before="60" w:after="60"/>
              <w:rPr>
                <w:b/>
                <w:bCs/>
                <w:lang w:eastAsia="en-GB"/>
              </w:rPr>
            </w:pPr>
            <w:r>
              <w:rPr>
                <w:b/>
                <w:bCs/>
                <w:lang w:eastAsia="en-GB"/>
              </w:rPr>
              <w:t xml:space="preserve">Draft </w:t>
            </w:r>
            <w:r w:rsidR="000D14FE" w:rsidRPr="4D612737">
              <w:rPr>
                <w:b/>
                <w:bCs/>
                <w:lang w:eastAsia="en-GB"/>
              </w:rPr>
              <w:t>Grade</w:t>
            </w:r>
          </w:p>
        </w:tc>
        <w:tc>
          <w:tcPr>
            <w:tcW w:w="2973" w:type="dxa"/>
            <w:gridSpan w:val="2"/>
          </w:tcPr>
          <w:p w14:paraId="7FF89A80" w14:textId="2B37484C" w:rsidR="000D14FE" w:rsidRPr="00180B47" w:rsidRDefault="000D14FE" w:rsidP="4D612737">
            <w:pPr>
              <w:spacing w:before="60" w:after="60"/>
              <w:rPr>
                <w:b/>
                <w:bCs/>
                <w:lang w:eastAsia="en-GB"/>
              </w:rPr>
            </w:pPr>
            <w:r w:rsidRPr="4D612737">
              <w:rPr>
                <w:b/>
                <w:bCs/>
                <w:lang w:eastAsia="en-GB"/>
              </w:rPr>
              <w:t>Inequalities</w:t>
            </w:r>
            <w:r w:rsidR="00CE5728">
              <w:rPr>
                <w:b/>
                <w:bCs/>
                <w:lang w:eastAsia="en-GB"/>
              </w:rPr>
              <w:t xml:space="preserve"> Identified ?</w:t>
            </w:r>
          </w:p>
        </w:tc>
      </w:tr>
      <w:tr w:rsidR="000D14FE" w14:paraId="6F8B82FB" w14:textId="7F4C1B01" w:rsidTr="008106F8">
        <w:tc>
          <w:tcPr>
            <w:tcW w:w="3149" w:type="dxa"/>
            <w:vAlign w:val="center"/>
          </w:tcPr>
          <w:p w14:paraId="6EA1C0E5" w14:textId="77777777" w:rsidR="000D14FE" w:rsidRDefault="000D14FE" w:rsidP="4D612737">
            <w:pPr>
              <w:spacing w:before="60" w:after="60"/>
              <w:rPr>
                <w:lang w:eastAsia="en-GB"/>
              </w:rPr>
            </w:pPr>
            <w:r w:rsidRPr="4D612737">
              <w:rPr>
                <w:lang w:eastAsia="en-GB"/>
              </w:rPr>
              <w:t>Indicator 1: Sedentary Behaviours</w:t>
            </w:r>
          </w:p>
          <w:p w14:paraId="7ED11679" w14:textId="256E9792" w:rsidR="0090264A" w:rsidRPr="000D14FE" w:rsidRDefault="0090264A" w:rsidP="4D612737">
            <w:pPr>
              <w:spacing w:before="60" w:after="60"/>
              <w:rPr>
                <w:lang w:eastAsia="en-GB"/>
              </w:rPr>
            </w:pPr>
            <w:r>
              <w:rPr>
                <w:lang w:eastAsia="en-GB"/>
              </w:rPr>
              <w:t>Page 6</w:t>
            </w:r>
          </w:p>
        </w:tc>
        <w:tc>
          <w:tcPr>
            <w:tcW w:w="2894" w:type="dxa"/>
            <w:vAlign w:val="center"/>
          </w:tcPr>
          <w:p w14:paraId="36582B8D" w14:textId="6E92DD14" w:rsidR="000D14FE" w:rsidRPr="000D14FE" w:rsidRDefault="63A5C8FE" w:rsidP="4D612737">
            <w:pPr>
              <w:spacing w:before="60" w:after="60"/>
              <w:rPr>
                <w:lang w:eastAsia="en-GB"/>
              </w:rPr>
            </w:pPr>
            <w:r w:rsidRPr="691BBDFC">
              <w:rPr>
                <w:lang w:eastAsia="en-GB"/>
              </w:rPr>
              <w:t>F (&lt;</w:t>
            </w:r>
            <w:r w:rsidR="220DF4D9" w:rsidRPr="691BBDFC">
              <w:rPr>
                <w:lang w:eastAsia="en-GB"/>
              </w:rPr>
              <w:t>2</w:t>
            </w:r>
            <w:r w:rsidR="000D14FE" w:rsidRPr="691BBDFC">
              <w:rPr>
                <w:lang w:eastAsia="en-GB"/>
              </w:rPr>
              <w:t>0</w:t>
            </w:r>
            <w:r w:rsidR="144D06D9" w:rsidRPr="691BBDFC">
              <w:rPr>
                <w:lang w:eastAsia="en-GB"/>
              </w:rPr>
              <w:t>%</w:t>
            </w:r>
            <w:r w:rsidR="000D14FE" w:rsidRPr="691BBDFC">
              <w:rPr>
                <w:lang w:eastAsia="en-GB"/>
              </w:rPr>
              <w:t>)</w:t>
            </w:r>
          </w:p>
        </w:tc>
        <w:tc>
          <w:tcPr>
            <w:tcW w:w="2973" w:type="dxa"/>
            <w:gridSpan w:val="2"/>
          </w:tcPr>
          <w:p w14:paraId="25B4F4F8" w14:textId="280BC72F" w:rsidR="000D14FE" w:rsidRPr="000D14FE" w:rsidRDefault="000D14FE" w:rsidP="4D612737">
            <w:pPr>
              <w:spacing w:before="60" w:after="60"/>
              <w:rPr>
                <w:lang w:eastAsia="en-GB"/>
              </w:rPr>
            </w:pPr>
            <w:r w:rsidRPr="778F92D9">
              <w:rPr>
                <w:lang w:eastAsia="en-GB"/>
              </w:rPr>
              <w:t>Y</w:t>
            </w:r>
            <w:r w:rsidR="24D0CBD6" w:rsidRPr="778F92D9">
              <w:rPr>
                <w:lang w:eastAsia="en-GB"/>
              </w:rPr>
              <w:t>es.</w:t>
            </w:r>
            <w:r w:rsidR="31C72FDB" w:rsidRPr="778F92D9">
              <w:rPr>
                <w:lang w:eastAsia="en-GB"/>
              </w:rPr>
              <w:t xml:space="preserve"> </w:t>
            </w:r>
            <w:r w:rsidR="4174B96C" w:rsidRPr="778F92D9">
              <w:rPr>
                <w:lang w:eastAsia="en-GB"/>
              </w:rPr>
              <w:t>F</w:t>
            </w:r>
            <w:r w:rsidR="59FFD026" w:rsidRPr="778F92D9">
              <w:rPr>
                <w:lang w:eastAsia="en-GB"/>
              </w:rPr>
              <w:t xml:space="preserve">ree-time </w:t>
            </w:r>
            <w:r w:rsidR="31C72FDB" w:rsidRPr="778F92D9">
              <w:rPr>
                <w:lang w:eastAsia="en-GB"/>
              </w:rPr>
              <w:t>s</w:t>
            </w:r>
            <w:r w:rsidR="48DA5819" w:rsidRPr="778F92D9">
              <w:rPr>
                <w:lang w:eastAsia="en-GB"/>
              </w:rPr>
              <w:t>creen-time higher in the more socio-economically deprived</w:t>
            </w:r>
            <w:r w:rsidR="2EFE6276" w:rsidRPr="778F92D9">
              <w:rPr>
                <w:lang w:eastAsia="en-GB"/>
              </w:rPr>
              <w:t>, and slightly higher in boys than girls</w:t>
            </w:r>
            <w:r w:rsidR="74BEEE3B" w:rsidRPr="778F92D9">
              <w:rPr>
                <w:lang w:eastAsia="en-GB"/>
              </w:rPr>
              <w:t>.</w:t>
            </w:r>
          </w:p>
        </w:tc>
      </w:tr>
      <w:tr w:rsidR="000D14FE" w14:paraId="57A8FF33" w14:textId="2A268E75" w:rsidTr="008106F8">
        <w:tc>
          <w:tcPr>
            <w:tcW w:w="3149" w:type="dxa"/>
            <w:vAlign w:val="center"/>
          </w:tcPr>
          <w:p w14:paraId="0D7E7866" w14:textId="77777777" w:rsidR="000D14FE" w:rsidRDefault="000D14FE" w:rsidP="4D612737">
            <w:pPr>
              <w:spacing w:before="60" w:after="60"/>
              <w:rPr>
                <w:lang w:eastAsia="en-GB"/>
              </w:rPr>
            </w:pPr>
            <w:r w:rsidRPr="4D612737">
              <w:rPr>
                <w:lang w:eastAsia="en-GB"/>
              </w:rPr>
              <w:t>Indicator 2: Overall Physical Activity</w:t>
            </w:r>
          </w:p>
          <w:p w14:paraId="562CD151" w14:textId="34886039" w:rsidR="0090264A" w:rsidRPr="000D14FE" w:rsidRDefault="0090264A" w:rsidP="4D612737">
            <w:pPr>
              <w:spacing w:before="60" w:after="60"/>
              <w:rPr>
                <w:lang w:eastAsia="en-GB"/>
              </w:rPr>
            </w:pPr>
            <w:r>
              <w:rPr>
                <w:lang w:eastAsia="en-GB"/>
              </w:rPr>
              <w:t>Page 8</w:t>
            </w:r>
          </w:p>
        </w:tc>
        <w:tc>
          <w:tcPr>
            <w:tcW w:w="2894" w:type="dxa"/>
            <w:vAlign w:val="center"/>
          </w:tcPr>
          <w:p w14:paraId="1066ED44" w14:textId="09654682" w:rsidR="000D14FE" w:rsidRPr="000D14FE" w:rsidRDefault="000D14FE" w:rsidP="4D612737">
            <w:pPr>
              <w:spacing w:before="60" w:after="60"/>
              <w:rPr>
                <w:lang w:eastAsia="en-GB"/>
              </w:rPr>
            </w:pPr>
            <w:r w:rsidRPr="2FD3DE34">
              <w:rPr>
                <w:lang w:eastAsia="en-GB"/>
              </w:rPr>
              <w:t>F (&lt;20%)</w:t>
            </w:r>
            <w:r w:rsidR="21F84C4B" w:rsidRPr="2FD3DE34">
              <w:rPr>
                <w:lang w:eastAsia="en-GB"/>
              </w:rPr>
              <w:t xml:space="preserve"> </w:t>
            </w:r>
          </w:p>
        </w:tc>
        <w:tc>
          <w:tcPr>
            <w:tcW w:w="2973" w:type="dxa"/>
            <w:gridSpan w:val="2"/>
          </w:tcPr>
          <w:p w14:paraId="2433F978" w14:textId="6A06718C" w:rsidR="000D14FE" w:rsidRPr="000D14FE" w:rsidRDefault="3488A7EC" w:rsidP="4D612737">
            <w:pPr>
              <w:spacing w:before="60" w:after="60"/>
              <w:rPr>
                <w:lang w:eastAsia="en-GB"/>
              </w:rPr>
            </w:pPr>
            <w:r w:rsidRPr="778F92D9">
              <w:rPr>
                <w:lang w:eastAsia="en-GB"/>
              </w:rPr>
              <w:t xml:space="preserve">Unlikely for </w:t>
            </w:r>
            <w:r w:rsidR="335F6AAC" w:rsidRPr="778F92D9">
              <w:rPr>
                <w:lang w:eastAsia="en-GB"/>
              </w:rPr>
              <w:t>socioeconomic</w:t>
            </w:r>
            <w:r w:rsidR="00980368">
              <w:rPr>
                <w:lang w:eastAsia="en-GB"/>
              </w:rPr>
              <w:t xml:space="preserve"> deprivation; girls slightly less</w:t>
            </w:r>
            <w:r w:rsidRPr="778F92D9">
              <w:rPr>
                <w:lang w:eastAsia="en-GB"/>
              </w:rPr>
              <w:t xml:space="preserve"> likely to meet guidelines than boys</w:t>
            </w:r>
          </w:p>
        </w:tc>
      </w:tr>
      <w:tr w:rsidR="000D14FE" w14:paraId="403C92F9" w14:textId="78F637B3" w:rsidTr="008106F8">
        <w:tc>
          <w:tcPr>
            <w:tcW w:w="3149" w:type="dxa"/>
            <w:vAlign w:val="center"/>
          </w:tcPr>
          <w:p w14:paraId="06C52F17" w14:textId="77777777" w:rsidR="000D14FE" w:rsidRDefault="000D14FE" w:rsidP="4D612737">
            <w:pPr>
              <w:spacing w:before="60" w:after="60"/>
              <w:rPr>
                <w:lang w:eastAsia="en-GB"/>
              </w:rPr>
            </w:pPr>
            <w:r w:rsidRPr="4D612737">
              <w:rPr>
                <w:lang w:eastAsia="en-GB"/>
              </w:rPr>
              <w:t>Indicator 3: Organised Sport and Physical Activity</w:t>
            </w:r>
          </w:p>
          <w:p w14:paraId="09533BE5" w14:textId="53B4ED65" w:rsidR="0090264A" w:rsidRPr="000D14FE" w:rsidRDefault="0090264A" w:rsidP="4D612737">
            <w:pPr>
              <w:spacing w:before="60" w:after="60"/>
              <w:rPr>
                <w:lang w:eastAsia="en-GB"/>
              </w:rPr>
            </w:pPr>
            <w:r>
              <w:rPr>
                <w:lang w:eastAsia="en-GB"/>
              </w:rPr>
              <w:t>Page 9</w:t>
            </w:r>
          </w:p>
        </w:tc>
        <w:tc>
          <w:tcPr>
            <w:tcW w:w="2894" w:type="dxa"/>
            <w:vAlign w:val="center"/>
          </w:tcPr>
          <w:p w14:paraId="592D770A" w14:textId="16673322" w:rsidR="000D14FE" w:rsidRPr="000D14FE" w:rsidRDefault="000D14FE" w:rsidP="4D612737">
            <w:pPr>
              <w:spacing w:before="60" w:after="60"/>
              <w:rPr>
                <w:lang w:eastAsia="en-GB"/>
              </w:rPr>
            </w:pPr>
            <w:r w:rsidRPr="4D612737">
              <w:rPr>
                <w:lang w:eastAsia="en-GB"/>
              </w:rPr>
              <w:t>B- (60-66%)</w:t>
            </w:r>
          </w:p>
        </w:tc>
        <w:tc>
          <w:tcPr>
            <w:tcW w:w="2973" w:type="dxa"/>
            <w:gridSpan w:val="2"/>
          </w:tcPr>
          <w:p w14:paraId="18C3B655" w14:textId="6F89DF86" w:rsidR="000D14FE" w:rsidRPr="000D14FE" w:rsidRDefault="000D14FE" w:rsidP="4D612737">
            <w:pPr>
              <w:spacing w:before="60" w:after="60"/>
              <w:rPr>
                <w:lang w:eastAsia="en-GB"/>
              </w:rPr>
            </w:pPr>
            <w:r w:rsidRPr="3F7008BC">
              <w:rPr>
                <w:lang w:eastAsia="en-GB"/>
              </w:rPr>
              <w:t>Y</w:t>
            </w:r>
            <w:r w:rsidR="00980368">
              <w:rPr>
                <w:lang w:eastAsia="en-GB"/>
              </w:rPr>
              <w:t xml:space="preserve">es. Reported </w:t>
            </w:r>
            <w:r w:rsidR="55C9B004" w:rsidRPr="3F7008BC">
              <w:rPr>
                <w:lang w:eastAsia="en-GB"/>
              </w:rPr>
              <w:t>participation lower in more socio-economically deprived individuals</w:t>
            </w:r>
            <w:r w:rsidR="64D7073B" w:rsidRPr="3F7008BC">
              <w:rPr>
                <w:lang w:eastAsia="en-GB"/>
              </w:rPr>
              <w:t>; participation</w:t>
            </w:r>
            <w:r w:rsidR="55C9B004" w:rsidRPr="3F7008BC">
              <w:rPr>
                <w:lang w:eastAsia="en-GB"/>
              </w:rPr>
              <w:t xml:space="preserve"> declines with age; no marked differences between boys and girls.</w:t>
            </w:r>
          </w:p>
        </w:tc>
      </w:tr>
      <w:tr w:rsidR="000D14FE" w14:paraId="351F65FC" w14:textId="2736885D" w:rsidTr="008106F8">
        <w:tc>
          <w:tcPr>
            <w:tcW w:w="3149" w:type="dxa"/>
            <w:vAlign w:val="center"/>
          </w:tcPr>
          <w:p w14:paraId="04CED7E4" w14:textId="77777777" w:rsidR="000D14FE" w:rsidRDefault="000D14FE" w:rsidP="4D612737">
            <w:pPr>
              <w:spacing w:before="60" w:after="60"/>
              <w:rPr>
                <w:lang w:eastAsia="en-GB"/>
              </w:rPr>
            </w:pPr>
            <w:r w:rsidRPr="4D612737">
              <w:rPr>
                <w:lang w:eastAsia="en-GB"/>
              </w:rPr>
              <w:t>Indicator 4: Active Play</w:t>
            </w:r>
          </w:p>
          <w:p w14:paraId="6EDF3A36" w14:textId="10C05A30" w:rsidR="0090264A" w:rsidRPr="000D14FE" w:rsidRDefault="0090264A" w:rsidP="4D612737">
            <w:pPr>
              <w:spacing w:before="60" w:after="60"/>
              <w:rPr>
                <w:lang w:eastAsia="en-GB"/>
              </w:rPr>
            </w:pPr>
            <w:r>
              <w:rPr>
                <w:lang w:eastAsia="en-GB"/>
              </w:rPr>
              <w:t>Page 10</w:t>
            </w:r>
          </w:p>
        </w:tc>
        <w:tc>
          <w:tcPr>
            <w:tcW w:w="2894" w:type="dxa"/>
            <w:vAlign w:val="center"/>
          </w:tcPr>
          <w:p w14:paraId="04C92F12" w14:textId="082B1B14" w:rsidR="000D14FE" w:rsidRPr="000D14FE" w:rsidRDefault="00C26615" w:rsidP="4D612737">
            <w:pPr>
              <w:spacing w:before="60" w:after="60"/>
              <w:rPr>
                <w:lang w:eastAsia="en-GB"/>
              </w:rPr>
            </w:pPr>
            <w:r w:rsidRPr="4D612737">
              <w:rPr>
                <w:lang w:eastAsia="en-GB"/>
              </w:rPr>
              <w:t>D (27-33%)</w:t>
            </w:r>
          </w:p>
        </w:tc>
        <w:tc>
          <w:tcPr>
            <w:tcW w:w="2973" w:type="dxa"/>
            <w:gridSpan w:val="2"/>
          </w:tcPr>
          <w:p w14:paraId="721A1513" w14:textId="42C41E45" w:rsidR="000D14FE" w:rsidRPr="000D14FE" w:rsidRDefault="00980368" w:rsidP="4D612737">
            <w:pPr>
              <w:spacing w:before="60" w:after="60"/>
              <w:rPr>
                <w:lang w:eastAsia="en-GB"/>
              </w:rPr>
            </w:pPr>
            <w:r>
              <w:rPr>
                <w:lang w:eastAsia="en-GB"/>
              </w:rPr>
              <w:t>Yes. Reported participation in active play slightly lower in girls than boys.</w:t>
            </w:r>
          </w:p>
        </w:tc>
      </w:tr>
      <w:tr w:rsidR="000D14FE" w14:paraId="1EEA252E" w14:textId="6DA76A11" w:rsidTr="008106F8">
        <w:tc>
          <w:tcPr>
            <w:tcW w:w="3149" w:type="dxa"/>
            <w:vAlign w:val="center"/>
          </w:tcPr>
          <w:p w14:paraId="0502A684" w14:textId="77777777" w:rsidR="000D14FE" w:rsidRDefault="000D14FE" w:rsidP="4D612737">
            <w:pPr>
              <w:spacing w:before="60" w:after="60"/>
              <w:rPr>
                <w:lang w:eastAsia="en-GB"/>
              </w:rPr>
            </w:pPr>
            <w:r w:rsidRPr="4D612737">
              <w:rPr>
                <w:lang w:eastAsia="en-GB"/>
              </w:rPr>
              <w:t>Indicator 5: Active Transportation</w:t>
            </w:r>
          </w:p>
          <w:p w14:paraId="109840FA" w14:textId="13C306BC" w:rsidR="00C32387" w:rsidRPr="000D14FE" w:rsidRDefault="00C32387" w:rsidP="4D612737">
            <w:pPr>
              <w:spacing w:before="60" w:after="60"/>
              <w:rPr>
                <w:lang w:eastAsia="en-GB"/>
              </w:rPr>
            </w:pPr>
            <w:r>
              <w:rPr>
                <w:lang w:eastAsia="en-GB"/>
              </w:rPr>
              <w:t>Page 11</w:t>
            </w:r>
          </w:p>
        </w:tc>
        <w:tc>
          <w:tcPr>
            <w:tcW w:w="2894" w:type="dxa"/>
            <w:vAlign w:val="center"/>
          </w:tcPr>
          <w:p w14:paraId="3C0174C9" w14:textId="4AFAFADF" w:rsidR="000D14FE" w:rsidRPr="000D14FE" w:rsidRDefault="00C26615" w:rsidP="4D612737">
            <w:pPr>
              <w:spacing w:before="60" w:after="60"/>
              <w:rPr>
                <w:lang w:eastAsia="en-GB"/>
              </w:rPr>
            </w:pPr>
            <w:r w:rsidRPr="4D612737">
              <w:rPr>
                <w:lang w:eastAsia="en-GB"/>
              </w:rPr>
              <w:t>C- (40-46%)</w:t>
            </w:r>
          </w:p>
        </w:tc>
        <w:tc>
          <w:tcPr>
            <w:tcW w:w="2973" w:type="dxa"/>
            <w:gridSpan w:val="2"/>
          </w:tcPr>
          <w:p w14:paraId="4A9D0B3B" w14:textId="1EE3467C" w:rsidR="000D14FE" w:rsidRPr="000D14FE" w:rsidRDefault="00980368" w:rsidP="4D612737">
            <w:pPr>
              <w:spacing w:before="60" w:after="60"/>
              <w:rPr>
                <w:lang w:eastAsia="en-GB"/>
              </w:rPr>
            </w:pPr>
            <w:r>
              <w:rPr>
                <w:lang w:eastAsia="en-GB"/>
              </w:rPr>
              <w:t xml:space="preserve">Yes. Active commuting to school via cycling lower in more socio-economically deprived. </w:t>
            </w:r>
          </w:p>
        </w:tc>
      </w:tr>
      <w:tr w:rsidR="000D14FE" w14:paraId="5EB67267" w14:textId="05C4B66C" w:rsidTr="008106F8">
        <w:tc>
          <w:tcPr>
            <w:tcW w:w="3149" w:type="dxa"/>
            <w:vAlign w:val="center"/>
          </w:tcPr>
          <w:p w14:paraId="1E847A2B" w14:textId="77777777" w:rsidR="000D14FE" w:rsidRDefault="000D14FE" w:rsidP="4D612737">
            <w:pPr>
              <w:spacing w:before="60" w:after="60"/>
              <w:rPr>
                <w:lang w:eastAsia="en-GB"/>
              </w:rPr>
            </w:pPr>
            <w:r w:rsidRPr="4D612737">
              <w:rPr>
                <w:lang w:eastAsia="en-GB"/>
              </w:rPr>
              <w:t>Indicator 6: Physical Fitness</w:t>
            </w:r>
          </w:p>
          <w:p w14:paraId="17A1073E" w14:textId="5D1EA4B3" w:rsidR="00C32387" w:rsidRPr="000D14FE" w:rsidRDefault="00C32387" w:rsidP="4D612737">
            <w:pPr>
              <w:spacing w:before="60" w:after="60"/>
              <w:rPr>
                <w:lang w:eastAsia="en-GB"/>
              </w:rPr>
            </w:pPr>
            <w:r>
              <w:rPr>
                <w:lang w:eastAsia="en-GB"/>
              </w:rPr>
              <w:t>Page 11</w:t>
            </w:r>
          </w:p>
        </w:tc>
        <w:tc>
          <w:tcPr>
            <w:tcW w:w="2894" w:type="dxa"/>
            <w:vAlign w:val="center"/>
          </w:tcPr>
          <w:p w14:paraId="179F8B79" w14:textId="6C899232" w:rsidR="000D14FE" w:rsidRPr="000D14FE" w:rsidRDefault="000D14FE" w:rsidP="4D612737">
            <w:pPr>
              <w:spacing w:before="60" w:after="60"/>
              <w:rPr>
                <w:lang w:eastAsia="en-GB"/>
              </w:rPr>
            </w:pPr>
            <w:r w:rsidRPr="4D612737">
              <w:rPr>
                <w:lang w:eastAsia="en-GB"/>
              </w:rPr>
              <w:t>INC</w:t>
            </w:r>
          </w:p>
        </w:tc>
        <w:tc>
          <w:tcPr>
            <w:tcW w:w="2973" w:type="dxa"/>
            <w:gridSpan w:val="2"/>
          </w:tcPr>
          <w:p w14:paraId="6696F47F" w14:textId="3DF5BF31" w:rsidR="000D14FE" w:rsidRPr="000D14FE" w:rsidRDefault="000D14FE" w:rsidP="4D612737">
            <w:pPr>
              <w:spacing w:before="60" w:after="60"/>
              <w:rPr>
                <w:lang w:eastAsia="en-GB"/>
              </w:rPr>
            </w:pPr>
            <w:r w:rsidRPr="4D612737">
              <w:rPr>
                <w:lang w:eastAsia="en-GB"/>
              </w:rPr>
              <w:t>INC</w:t>
            </w:r>
          </w:p>
        </w:tc>
      </w:tr>
      <w:tr w:rsidR="000D14FE" w14:paraId="146DEAE1" w14:textId="482E8CDE" w:rsidTr="008106F8">
        <w:tc>
          <w:tcPr>
            <w:tcW w:w="3149" w:type="dxa"/>
            <w:vAlign w:val="center"/>
          </w:tcPr>
          <w:p w14:paraId="37378B9D" w14:textId="77777777" w:rsidR="000D14FE" w:rsidRDefault="000D14FE" w:rsidP="4D612737">
            <w:pPr>
              <w:spacing w:before="60" w:after="60"/>
              <w:rPr>
                <w:lang w:eastAsia="en-GB"/>
              </w:rPr>
            </w:pPr>
            <w:r w:rsidRPr="4D612737">
              <w:rPr>
                <w:lang w:eastAsia="en-GB"/>
              </w:rPr>
              <w:t>Indicator 7: Diet</w:t>
            </w:r>
          </w:p>
          <w:p w14:paraId="184FC445" w14:textId="7D1C8D72" w:rsidR="00C32387" w:rsidRPr="000D14FE" w:rsidRDefault="00C32387" w:rsidP="4D612737">
            <w:pPr>
              <w:spacing w:before="60" w:after="60"/>
              <w:rPr>
                <w:lang w:eastAsia="en-GB"/>
              </w:rPr>
            </w:pPr>
            <w:r>
              <w:rPr>
                <w:lang w:eastAsia="en-GB"/>
              </w:rPr>
              <w:t>Page 12</w:t>
            </w:r>
          </w:p>
        </w:tc>
        <w:tc>
          <w:tcPr>
            <w:tcW w:w="2894" w:type="dxa"/>
            <w:vAlign w:val="center"/>
          </w:tcPr>
          <w:p w14:paraId="47293F4B" w14:textId="49344C92" w:rsidR="000D14FE" w:rsidRPr="000D14FE" w:rsidRDefault="00980368" w:rsidP="4D612737">
            <w:pPr>
              <w:spacing w:before="60" w:after="60"/>
              <w:rPr>
                <w:lang w:eastAsia="en-GB"/>
              </w:rPr>
            </w:pPr>
            <w:r>
              <w:rPr>
                <w:lang w:eastAsia="en-GB"/>
              </w:rPr>
              <w:t>F (&lt;20%)</w:t>
            </w:r>
          </w:p>
        </w:tc>
        <w:tc>
          <w:tcPr>
            <w:tcW w:w="2973" w:type="dxa"/>
            <w:gridSpan w:val="2"/>
          </w:tcPr>
          <w:p w14:paraId="3CDF0D98" w14:textId="142C065A" w:rsidR="000D14FE" w:rsidRPr="000D14FE" w:rsidRDefault="00980368" w:rsidP="4D612737">
            <w:pPr>
              <w:spacing w:before="60" w:after="60"/>
              <w:rPr>
                <w:lang w:eastAsia="en-GB"/>
              </w:rPr>
            </w:pPr>
            <w:r>
              <w:rPr>
                <w:lang w:eastAsia="en-GB"/>
              </w:rPr>
              <w:t xml:space="preserve">Yes. Markedly </w:t>
            </w:r>
            <w:r w:rsidR="00E2752E">
              <w:rPr>
                <w:lang w:eastAsia="en-GB"/>
              </w:rPr>
              <w:t>poorer diet in the more socio-economically deprived.</w:t>
            </w:r>
          </w:p>
        </w:tc>
      </w:tr>
      <w:tr w:rsidR="000D14FE" w14:paraId="3252B4DF" w14:textId="54195E1A" w:rsidTr="008106F8">
        <w:tc>
          <w:tcPr>
            <w:tcW w:w="3149" w:type="dxa"/>
            <w:vAlign w:val="center"/>
          </w:tcPr>
          <w:p w14:paraId="1F374610" w14:textId="77777777" w:rsidR="000D14FE" w:rsidRDefault="000D14FE" w:rsidP="4D612737">
            <w:pPr>
              <w:spacing w:before="60" w:after="60"/>
              <w:rPr>
                <w:lang w:eastAsia="en-GB"/>
              </w:rPr>
            </w:pPr>
            <w:r w:rsidRPr="4D612737">
              <w:rPr>
                <w:lang w:eastAsia="en-GB"/>
              </w:rPr>
              <w:t>Indicator 8: Obesity</w:t>
            </w:r>
          </w:p>
          <w:p w14:paraId="57D869EB" w14:textId="5CCD24E7" w:rsidR="00C32387" w:rsidRPr="000D14FE" w:rsidRDefault="00C32387" w:rsidP="4D612737">
            <w:pPr>
              <w:spacing w:before="60" w:after="60"/>
              <w:rPr>
                <w:lang w:eastAsia="en-GB"/>
              </w:rPr>
            </w:pPr>
            <w:r>
              <w:rPr>
                <w:lang w:eastAsia="en-GB"/>
              </w:rPr>
              <w:t>Page 13</w:t>
            </w:r>
          </w:p>
        </w:tc>
        <w:tc>
          <w:tcPr>
            <w:tcW w:w="2894" w:type="dxa"/>
            <w:vAlign w:val="center"/>
          </w:tcPr>
          <w:p w14:paraId="24642E58" w14:textId="17697D72" w:rsidR="000D14FE" w:rsidRPr="000D14FE" w:rsidRDefault="203B9628" w:rsidP="4D612737">
            <w:pPr>
              <w:spacing w:before="60" w:after="60"/>
              <w:rPr>
                <w:lang w:eastAsia="en-GB"/>
              </w:rPr>
            </w:pPr>
            <w:r w:rsidRPr="4D612737">
              <w:rPr>
                <w:lang w:eastAsia="en-GB"/>
              </w:rPr>
              <w:t>INC</w:t>
            </w:r>
            <w:r w:rsidR="00E2752E">
              <w:rPr>
                <w:lang w:eastAsia="en-GB"/>
              </w:rPr>
              <w:t>. Prevalence of obesity is high but hard to grade, especially given limitations in Scottish obesity surveillance.</w:t>
            </w:r>
          </w:p>
        </w:tc>
        <w:tc>
          <w:tcPr>
            <w:tcW w:w="2973" w:type="dxa"/>
            <w:gridSpan w:val="2"/>
          </w:tcPr>
          <w:p w14:paraId="6C3BFC23" w14:textId="510267F2" w:rsidR="000D14FE" w:rsidRPr="000D14FE" w:rsidRDefault="00E2752E" w:rsidP="4D612737">
            <w:pPr>
              <w:spacing w:before="60" w:after="60"/>
              <w:rPr>
                <w:lang w:eastAsia="en-GB"/>
              </w:rPr>
            </w:pPr>
            <w:r>
              <w:rPr>
                <w:lang w:eastAsia="en-GB"/>
              </w:rPr>
              <w:t>Yes. Marke</w:t>
            </w:r>
            <w:r w:rsidR="00A43BBA">
              <w:rPr>
                <w:lang w:eastAsia="en-GB"/>
              </w:rPr>
              <w:t>d</w:t>
            </w:r>
            <w:r>
              <w:rPr>
                <w:lang w:eastAsia="en-GB"/>
              </w:rPr>
              <w:t xml:space="preserve">ly higher prevalence of obesity in the more socio-economically deprived, and socio-economic gap widening </w:t>
            </w:r>
            <w:r w:rsidR="00534DFC">
              <w:rPr>
                <w:lang w:eastAsia="en-GB"/>
              </w:rPr>
              <w:t xml:space="preserve">substantially </w:t>
            </w:r>
            <w:r>
              <w:rPr>
                <w:lang w:eastAsia="en-GB"/>
              </w:rPr>
              <w:t>with time.</w:t>
            </w:r>
          </w:p>
        </w:tc>
      </w:tr>
      <w:tr w:rsidR="000D14FE" w14:paraId="2D04C75C" w14:textId="5444ABBF" w:rsidTr="008106F8">
        <w:tc>
          <w:tcPr>
            <w:tcW w:w="3149" w:type="dxa"/>
            <w:vAlign w:val="center"/>
          </w:tcPr>
          <w:p w14:paraId="7ABE12F3" w14:textId="77777777" w:rsidR="000D14FE" w:rsidRDefault="000D14FE" w:rsidP="4D612737">
            <w:pPr>
              <w:spacing w:before="60" w:after="60"/>
              <w:rPr>
                <w:lang w:eastAsia="en-GB"/>
              </w:rPr>
            </w:pPr>
            <w:r w:rsidRPr="4D612737">
              <w:rPr>
                <w:lang w:eastAsia="en-GB"/>
              </w:rPr>
              <w:t>Indicator 9: Family and Peers</w:t>
            </w:r>
          </w:p>
          <w:p w14:paraId="5FB24F5E" w14:textId="7C4C5AFA" w:rsidR="00C32387" w:rsidRPr="000D14FE" w:rsidRDefault="00C32387" w:rsidP="4D612737">
            <w:pPr>
              <w:spacing w:before="60" w:after="60"/>
              <w:rPr>
                <w:lang w:eastAsia="en-GB"/>
              </w:rPr>
            </w:pPr>
            <w:r>
              <w:rPr>
                <w:lang w:eastAsia="en-GB"/>
              </w:rPr>
              <w:t>Page 15</w:t>
            </w:r>
          </w:p>
        </w:tc>
        <w:tc>
          <w:tcPr>
            <w:tcW w:w="2894" w:type="dxa"/>
            <w:vAlign w:val="center"/>
          </w:tcPr>
          <w:p w14:paraId="569BAB3B" w14:textId="467A2F9C" w:rsidR="000D14FE" w:rsidRPr="000D14FE" w:rsidRDefault="13752AB3" w:rsidP="4D612737">
            <w:pPr>
              <w:spacing w:before="60" w:after="60"/>
              <w:rPr>
                <w:lang w:eastAsia="en-GB"/>
              </w:rPr>
            </w:pPr>
            <w:r w:rsidRPr="77E1198A">
              <w:rPr>
                <w:lang w:eastAsia="en-GB"/>
              </w:rPr>
              <w:t>D</w:t>
            </w:r>
            <w:r w:rsidR="5453FE5B" w:rsidRPr="77E1198A">
              <w:rPr>
                <w:lang w:eastAsia="en-GB"/>
              </w:rPr>
              <w:t>-</w:t>
            </w:r>
            <w:r w:rsidRPr="77E1198A">
              <w:rPr>
                <w:lang w:eastAsia="en-GB"/>
              </w:rPr>
              <w:t>(2</w:t>
            </w:r>
            <w:r w:rsidR="7BEE5AB6" w:rsidRPr="77E1198A">
              <w:rPr>
                <w:lang w:eastAsia="en-GB"/>
              </w:rPr>
              <w:t>0-26</w:t>
            </w:r>
            <w:r w:rsidRPr="77E1198A">
              <w:rPr>
                <w:lang w:eastAsia="en-GB"/>
              </w:rPr>
              <w:t>%)</w:t>
            </w:r>
            <w:r w:rsidR="53E59559" w:rsidRPr="77E1198A">
              <w:rPr>
                <w:lang w:eastAsia="en-GB"/>
              </w:rPr>
              <w:t xml:space="preserve">  </w:t>
            </w:r>
          </w:p>
        </w:tc>
        <w:tc>
          <w:tcPr>
            <w:tcW w:w="2973" w:type="dxa"/>
            <w:gridSpan w:val="2"/>
          </w:tcPr>
          <w:p w14:paraId="697DA0EA" w14:textId="5E877C2C" w:rsidR="000D14FE" w:rsidRPr="000D14FE" w:rsidRDefault="13752AB3" w:rsidP="4D612737">
            <w:pPr>
              <w:spacing w:before="60" w:after="60"/>
              <w:rPr>
                <w:lang w:eastAsia="en-GB"/>
              </w:rPr>
            </w:pPr>
            <w:r w:rsidRPr="77E1198A">
              <w:rPr>
                <w:lang w:eastAsia="en-GB"/>
              </w:rPr>
              <w:t>Y</w:t>
            </w:r>
            <w:r w:rsidR="00E2752E">
              <w:rPr>
                <w:lang w:eastAsia="en-GB"/>
              </w:rPr>
              <w:t>es</w:t>
            </w:r>
            <w:r w:rsidR="005C4FE6">
              <w:rPr>
                <w:lang w:eastAsia="en-GB"/>
              </w:rPr>
              <w:t>.</w:t>
            </w:r>
            <w:r w:rsidR="00E2752E">
              <w:rPr>
                <w:lang w:eastAsia="en-GB"/>
              </w:rPr>
              <w:t xml:space="preserve"> </w:t>
            </w:r>
            <w:r w:rsidR="005C4FE6">
              <w:rPr>
                <w:lang w:eastAsia="en-GB"/>
              </w:rPr>
              <w:t>F</w:t>
            </w:r>
            <w:r w:rsidR="00E2752E">
              <w:rPr>
                <w:lang w:eastAsia="en-GB"/>
              </w:rPr>
              <w:t xml:space="preserve">amily and peer </w:t>
            </w:r>
            <w:r w:rsidR="620C3AF3" w:rsidRPr="77E1198A">
              <w:rPr>
                <w:lang w:eastAsia="en-GB"/>
              </w:rPr>
              <w:t>diet, obesity, participation in sport and physical activity,</w:t>
            </w:r>
            <w:r w:rsidR="05772E56" w:rsidRPr="77E1198A">
              <w:rPr>
                <w:lang w:eastAsia="en-GB"/>
              </w:rPr>
              <w:t xml:space="preserve"> volunteering in</w:t>
            </w:r>
            <w:r w:rsidR="00E2752E">
              <w:rPr>
                <w:lang w:eastAsia="en-GB"/>
              </w:rPr>
              <w:t xml:space="preserve"> sport and physical activity all </w:t>
            </w:r>
            <w:r w:rsidR="620C3AF3" w:rsidRPr="77E1198A">
              <w:rPr>
                <w:lang w:eastAsia="en-GB"/>
              </w:rPr>
              <w:t>much less favourable in the more socio-economically deprived</w:t>
            </w:r>
          </w:p>
        </w:tc>
      </w:tr>
      <w:tr w:rsidR="000D14FE" w14:paraId="52F066DD" w14:textId="13932BBE" w:rsidTr="008106F8">
        <w:tc>
          <w:tcPr>
            <w:tcW w:w="3149" w:type="dxa"/>
            <w:vAlign w:val="center"/>
          </w:tcPr>
          <w:p w14:paraId="57E8D44D" w14:textId="77777777" w:rsidR="000D14FE" w:rsidRDefault="000D14FE" w:rsidP="4D612737">
            <w:pPr>
              <w:spacing w:before="60" w:after="60"/>
              <w:rPr>
                <w:lang w:eastAsia="en-GB"/>
              </w:rPr>
            </w:pPr>
            <w:r w:rsidRPr="4D612737">
              <w:rPr>
                <w:lang w:eastAsia="en-GB"/>
              </w:rPr>
              <w:t>Indicator 10: Community and Environment</w:t>
            </w:r>
          </w:p>
          <w:p w14:paraId="54FBD198" w14:textId="3F940CC6" w:rsidR="00C32387" w:rsidRPr="000D14FE" w:rsidRDefault="00C32387" w:rsidP="4D612737">
            <w:pPr>
              <w:spacing w:before="60" w:after="60"/>
              <w:rPr>
                <w:lang w:eastAsia="en-GB"/>
              </w:rPr>
            </w:pPr>
            <w:r>
              <w:rPr>
                <w:lang w:eastAsia="en-GB"/>
              </w:rPr>
              <w:t>Page 17</w:t>
            </w:r>
          </w:p>
        </w:tc>
        <w:tc>
          <w:tcPr>
            <w:tcW w:w="2894" w:type="dxa"/>
            <w:vAlign w:val="center"/>
          </w:tcPr>
          <w:p w14:paraId="5BA48E35" w14:textId="6B7E64B1" w:rsidR="000D14FE" w:rsidRPr="000D14FE" w:rsidRDefault="00740EE3" w:rsidP="4D612737">
            <w:pPr>
              <w:spacing w:before="60" w:after="60"/>
              <w:rPr>
                <w:lang w:eastAsia="en-GB"/>
              </w:rPr>
            </w:pPr>
            <w:r w:rsidRPr="4D612737">
              <w:rPr>
                <w:lang w:eastAsia="en-GB"/>
              </w:rPr>
              <w:t>B- (60-66%)</w:t>
            </w:r>
            <w:r w:rsidR="002007CA" w:rsidRPr="4D612737">
              <w:rPr>
                <w:lang w:eastAsia="en-GB"/>
              </w:rPr>
              <w:t xml:space="preserve"> – carried forward</w:t>
            </w:r>
          </w:p>
        </w:tc>
        <w:tc>
          <w:tcPr>
            <w:tcW w:w="2973" w:type="dxa"/>
            <w:gridSpan w:val="2"/>
          </w:tcPr>
          <w:p w14:paraId="1001DFBC" w14:textId="4A3C5FD5" w:rsidR="000D14FE" w:rsidRPr="000D14FE" w:rsidRDefault="00E2752E" w:rsidP="4D612737">
            <w:pPr>
              <w:spacing w:before="60" w:after="60"/>
              <w:rPr>
                <w:lang w:eastAsia="en-GB"/>
              </w:rPr>
            </w:pPr>
            <w:r>
              <w:rPr>
                <w:lang w:eastAsia="en-GB"/>
              </w:rPr>
              <w:t xml:space="preserve">Yes. Perceived safety lower in more socio-economically deprived </w:t>
            </w:r>
            <w:r w:rsidR="43324C1D" w:rsidRPr="4D612737">
              <w:rPr>
                <w:lang w:eastAsia="en-GB"/>
              </w:rPr>
              <w:t>neighbourhoods</w:t>
            </w:r>
          </w:p>
        </w:tc>
      </w:tr>
      <w:tr w:rsidR="008106F8" w14:paraId="35578C49" w14:textId="32F0DC41" w:rsidTr="008106F8">
        <w:trPr>
          <w:gridAfter w:val="1"/>
          <w:wAfter w:w="2894" w:type="dxa"/>
        </w:trPr>
        <w:tc>
          <w:tcPr>
            <w:tcW w:w="3149" w:type="dxa"/>
            <w:vAlign w:val="center"/>
          </w:tcPr>
          <w:p w14:paraId="3438E637" w14:textId="77777777" w:rsidR="008106F8" w:rsidRDefault="008106F8" w:rsidP="4D612737">
            <w:pPr>
              <w:spacing w:before="60" w:after="60"/>
              <w:rPr>
                <w:lang w:eastAsia="en-GB"/>
              </w:rPr>
            </w:pPr>
            <w:r w:rsidRPr="4D612737">
              <w:rPr>
                <w:lang w:eastAsia="en-GB"/>
              </w:rPr>
              <w:t>Indicator 11: Government</w:t>
            </w:r>
          </w:p>
          <w:p w14:paraId="219827F8" w14:textId="025E2DC0" w:rsidR="00C32387" w:rsidRPr="000D14FE" w:rsidRDefault="00C32387" w:rsidP="4D612737">
            <w:pPr>
              <w:spacing w:before="60" w:after="60"/>
              <w:rPr>
                <w:lang w:eastAsia="en-GB"/>
              </w:rPr>
            </w:pPr>
            <w:r>
              <w:rPr>
                <w:lang w:eastAsia="en-GB"/>
              </w:rPr>
              <w:t>Page 18</w:t>
            </w:r>
          </w:p>
        </w:tc>
        <w:tc>
          <w:tcPr>
            <w:tcW w:w="2973" w:type="dxa"/>
            <w:gridSpan w:val="2"/>
          </w:tcPr>
          <w:p w14:paraId="4A1E6248" w14:textId="3E75E6F0" w:rsidR="004263B7" w:rsidRDefault="004263B7" w:rsidP="4D612737">
            <w:pPr>
              <w:spacing w:before="60" w:after="60"/>
              <w:rPr>
                <w:lang w:eastAsia="en-GB"/>
              </w:rPr>
            </w:pPr>
            <w:r>
              <w:rPr>
                <w:lang w:eastAsia="en-GB"/>
              </w:rPr>
              <w:t>C (Physical Activity)</w:t>
            </w:r>
          </w:p>
          <w:p w14:paraId="5D3E82DA" w14:textId="51433724" w:rsidR="008106F8" w:rsidRPr="000D14FE" w:rsidRDefault="008106F8" w:rsidP="4D612737">
            <w:pPr>
              <w:spacing w:before="60" w:after="60"/>
              <w:rPr>
                <w:lang w:eastAsia="en-GB"/>
              </w:rPr>
            </w:pPr>
            <w:r>
              <w:rPr>
                <w:lang w:eastAsia="en-GB"/>
              </w:rPr>
              <w:t>C+</w:t>
            </w:r>
            <w:r w:rsidR="004263B7">
              <w:rPr>
                <w:lang w:eastAsia="en-GB"/>
              </w:rPr>
              <w:t xml:space="preserve"> (Diet)</w:t>
            </w:r>
          </w:p>
        </w:tc>
      </w:tr>
    </w:tbl>
    <w:p w14:paraId="640E21AA" w14:textId="77777777" w:rsidR="000D14FE" w:rsidRPr="000D14FE" w:rsidRDefault="000D14FE" w:rsidP="00180B47">
      <w:pPr>
        <w:rPr>
          <w:sz w:val="32"/>
          <w:szCs w:val="48"/>
          <w:lang w:eastAsia="en-GB"/>
        </w:rPr>
      </w:pPr>
    </w:p>
    <w:p w14:paraId="17F0E47F" w14:textId="77777777" w:rsidR="000D14FE" w:rsidRDefault="000D14FE" w:rsidP="00180B47">
      <w:pPr>
        <w:rPr>
          <w:sz w:val="32"/>
          <w:szCs w:val="48"/>
          <w:lang w:eastAsia="en-GB"/>
        </w:rPr>
      </w:pPr>
      <w:r>
        <w:rPr>
          <w:sz w:val="32"/>
          <w:szCs w:val="48"/>
          <w:lang w:eastAsia="en-GB"/>
        </w:rPr>
        <w:br w:type="page"/>
      </w:r>
    </w:p>
    <w:p w14:paraId="50F1BC79" w14:textId="5E12F293" w:rsidR="0038102E" w:rsidRPr="0038102E" w:rsidRDefault="0038102E" w:rsidP="00180B47">
      <w:pPr>
        <w:pStyle w:val="Heading1"/>
      </w:pPr>
      <w:bookmarkStart w:id="3" w:name="_Toc68789653"/>
      <w:r w:rsidRPr="0038102E">
        <w:t>Indicator 1: Sedentary Behaviours</w:t>
      </w:r>
      <w:bookmarkEnd w:id="0"/>
      <w:bookmarkEnd w:id="1"/>
      <w:bookmarkEnd w:id="2"/>
      <w:bookmarkEnd w:id="3"/>
    </w:p>
    <w:p w14:paraId="64D844F2" w14:textId="68B398AD" w:rsidR="0038102E" w:rsidRPr="0038102E" w:rsidRDefault="0038102E" w:rsidP="00673464">
      <w:pPr>
        <w:spacing w:before="240" w:after="0" w:line="240" w:lineRule="auto"/>
      </w:pPr>
      <w:r w:rsidRPr="7E62BFD6">
        <w:rPr>
          <w:b/>
          <w:bCs/>
        </w:rPr>
        <w:t xml:space="preserve">Benchmark: </w:t>
      </w:r>
      <w:r>
        <w:t xml:space="preserve">% of children and youth who meet the </w:t>
      </w:r>
      <w:r w:rsidR="00D861BF">
        <w:t xml:space="preserve">evidence-based guidelines from the </w:t>
      </w:r>
      <w:r w:rsidR="62D78F0E">
        <w:t xml:space="preserve">American Academy of Pediatrics and the </w:t>
      </w:r>
      <w:r>
        <w:t xml:space="preserve">Canadian </w:t>
      </w:r>
      <w:r w:rsidR="00D861BF">
        <w:t>Society for Exercise Physiology 2016</w:t>
      </w:r>
      <w:r>
        <w:t xml:space="preserve"> (5-17 year olds: no more than two hours of recreational screen time per day</w:t>
      </w:r>
      <w:r w:rsidR="44F6FC79">
        <w:t>)</w:t>
      </w:r>
      <w:r>
        <w:t>;</w:t>
      </w:r>
      <w:r w:rsidR="6EE303E7">
        <w:t xml:space="preserve"> for </w:t>
      </w:r>
      <w:r>
        <w:t xml:space="preserve"> 2-4 year olds: no more than one hour of sedentary screen time per day</w:t>
      </w:r>
      <w:r w:rsidR="00D861BF">
        <w:t xml:space="preserve"> from the Canadian </w:t>
      </w:r>
      <w:r w:rsidR="7D99D0F1">
        <w:t xml:space="preserve">Society for Exercise Physiology </w:t>
      </w:r>
      <w:r w:rsidR="00D861BF">
        <w:t>Guidelines 2017 and WHO Guidelines 2019</w:t>
      </w:r>
      <w:r>
        <w:t>. Note: the Guidelines currently provide a time limit recommendation for screen-related</w:t>
      </w:r>
      <w:r w:rsidR="00354051">
        <w:t xml:space="preserve"> sedentary</w:t>
      </w:r>
      <w:r>
        <w:t xml:space="preserve"> pursuits, but not for non-screen-related </w:t>
      </w:r>
      <w:r w:rsidR="00354051">
        <w:t xml:space="preserve">sedentary </w:t>
      </w:r>
      <w:r>
        <w:t>pursuits.</w:t>
      </w:r>
    </w:p>
    <w:p w14:paraId="57D9F3B2" w14:textId="77777777" w:rsidR="00354051" w:rsidRDefault="00354051" w:rsidP="0038102E">
      <w:pPr>
        <w:autoSpaceDE w:val="0"/>
        <w:autoSpaceDN w:val="0"/>
        <w:adjustRightInd w:val="0"/>
        <w:spacing w:line="240" w:lineRule="auto"/>
        <w:rPr>
          <w:rFonts w:ascii="Calibri" w:hAnsi="Calibri" w:cs="Calibri"/>
          <w:b/>
          <w:bCs/>
          <w:color w:val="000000"/>
        </w:rPr>
      </w:pPr>
    </w:p>
    <w:p w14:paraId="5F66D033" w14:textId="124FD7F4" w:rsidR="0038102E" w:rsidRPr="0038102E" w:rsidRDefault="0038102E" w:rsidP="0038102E">
      <w:pPr>
        <w:autoSpaceDE w:val="0"/>
        <w:autoSpaceDN w:val="0"/>
        <w:adjustRightInd w:val="0"/>
        <w:spacing w:line="240" w:lineRule="auto"/>
        <w:rPr>
          <w:rFonts w:ascii="Calibri" w:hAnsi="Calibri" w:cs="Calibri"/>
          <w:color w:val="000000"/>
        </w:rPr>
      </w:pPr>
      <w:r w:rsidRPr="691BBDFC">
        <w:rPr>
          <w:rFonts w:ascii="Calibri" w:hAnsi="Calibri" w:cs="Calibri"/>
          <w:b/>
          <w:bCs/>
          <w:color w:val="000000" w:themeColor="text1"/>
        </w:rPr>
        <w:t xml:space="preserve">Summary of methods of measurement: </w:t>
      </w:r>
      <w:r w:rsidRPr="691BBDFC">
        <w:rPr>
          <w:rFonts w:ascii="Calibri" w:hAnsi="Calibri" w:cs="Calibri"/>
          <w:color w:val="000000" w:themeColor="text1"/>
        </w:rPr>
        <w:t>Most sources of data used self/parent report of recreational screen time (i.e. TV viewing, gaming and other re</w:t>
      </w:r>
      <w:r w:rsidR="00354051" w:rsidRPr="691BBDFC">
        <w:rPr>
          <w:rFonts w:ascii="Calibri" w:hAnsi="Calibri" w:cs="Calibri"/>
          <w:color w:val="000000" w:themeColor="text1"/>
        </w:rPr>
        <w:t>creational screen time).</w:t>
      </w:r>
      <w:r w:rsidRPr="691BBDFC">
        <w:rPr>
          <w:rFonts w:ascii="Calibri" w:hAnsi="Calibri" w:cs="Calibri"/>
          <w:color w:val="000000" w:themeColor="text1"/>
        </w:rPr>
        <w:t xml:space="preserve"> At least two systematic reviews  (Lubans et al see Active Healthy Kids Scotland Report Card 2013, longform, </w:t>
      </w:r>
      <w:hyperlink r:id="rId17">
        <w:r w:rsidRPr="691BBDFC">
          <w:rPr>
            <w:rFonts w:ascii="Calibri" w:hAnsi="Calibri" w:cs="Calibri"/>
            <w:color w:val="0563C1"/>
            <w:u w:val="single"/>
          </w:rPr>
          <w:t>www.activehealthykidsscotland.co.uk</w:t>
        </w:r>
      </w:hyperlink>
      <w:r w:rsidRPr="691BBDFC">
        <w:rPr>
          <w:rFonts w:ascii="Calibri" w:hAnsi="Calibri" w:cs="Calibri"/>
          <w:color w:val="000000" w:themeColor="text1"/>
        </w:rPr>
        <w:t xml:space="preserve"> and Prince-Ware et al 2017 ) concluded that the reliability of self or parent-reported sedentary time was unclear for almost all self-report methods, but a few methods had some evidence of reasonable reliability</w:t>
      </w:r>
      <w:r w:rsidR="3D849FFF" w:rsidRPr="691BBDFC">
        <w:rPr>
          <w:rFonts w:ascii="Calibri" w:hAnsi="Calibri" w:cs="Calibri"/>
          <w:color w:val="000000" w:themeColor="text1"/>
        </w:rPr>
        <w:t xml:space="preserve"> (including</w:t>
      </w:r>
      <w:r w:rsidR="1A6A1FD6" w:rsidRPr="691BBDFC">
        <w:rPr>
          <w:rFonts w:ascii="Calibri" w:hAnsi="Calibri" w:cs="Calibri"/>
          <w:color w:val="000000" w:themeColor="text1"/>
        </w:rPr>
        <w:t xml:space="preserve"> the screen time from HBSC Scotland 2018, used to grade the 2020 Active Healthy Kids Scotland Report Card)</w:t>
      </w:r>
      <w:r w:rsidR="3D849FFF" w:rsidRPr="691BBDFC">
        <w:rPr>
          <w:rFonts w:ascii="Calibri" w:hAnsi="Calibri" w:cs="Calibri"/>
          <w:color w:val="000000" w:themeColor="text1"/>
        </w:rPr>
        <w:t xml:space="preserve"> </w:t>
      </w:r>
      <w:r w:rsidRPr="691BBDFC">
        <w:rPr>
          <w:rFonts w:ascii="Calibri" w:hAnsi="Calibri" w:cs="Calibri"/>
          <w:color w:val="000000" w:themeColor="text1"/>
        </w:rPr>
        <w:t>. These reviews also concluded that most self –report and parent-reported methods had not been validated, and so their accuracy is uncertain. For Scottish surveys it is unclear whether and to what extent measures of sedentary behaviour and screen time are biased, so they can be used in the Scottish Report Card, but with caution. The most likely bias is underestimation of recreational screen time, thus estimates of this behaviour used in Scottish surveys are probably conservative-i.e. exposure to screens may be higher than current Scottish estimates suggest. Time spent in other important forms of sedentary behaviour (e.g. sitting) is not objectively measured in Scottish surveys, but probably very substantial based on objectively measured English data which is readily generalisable to Scotland (e.g. Janssen et al 2016</w:t>
      </w:r>
      <w:r w:rsidR="5EF16949" w:rsidRPr="691BBDFC">
        <w:rPr>
          <w:rFonts w:ascii="Calibri" w:hAnsi="Calibri" w:cs="Calibri"/>
          <w:color w:val="000000" w:themeColor="text1"/>
        </w:rPr>
        <w:t xml:space="preserve"> Int J Behav Nutr Phys Act</w:t>
      </w:r>
      <w:r w:rsidRPr="691BBDFC">
        <w:rPr>
          <w:rFonts w:ascii="Calibri" w:hAnsi="Calibri" w:cs="Calibri"/>
          <w:color w:val="000000" w:themeColor="text1"/>
        </w:rPr>
        <w:t xml:space="preserve">). Objectively measured sitting time typically accounts for over half of waking time by age 6 years and this increases with age to over three-quarters of waking time by age 15 years, and with age the bouts of sitting become much longer with fewer breaks in sitting. </w:t>
      </w:r>
    </w:p>
    <w:p w14:paraId="064E1AE2" w14:textId="7C351744" w:rsidR="0038102E" w:rsidRDefault="0038102E" w:rsidP="691BBDFC">
      <w:pPr>
        <w:autoSpaceDE w:val="0"/>
        <w:autoSpaceDN w:val="0"/>
        <w:adjustRightInd w:val="0"/>
        <w:spacing w:line="240" w:lineRule="auto"/>
        <w:rPr>
          <w:rFonts w:ascii="Calibri" w:hAnsi="Calibri" w:cs="Calibri"/>
          <w:color w:val="000000"/>
        </w:rPr>
      </w:pPr>
      <w:r w:rsidRPr="052A7B32">
        <w:rPr>
          <w:rFonts w:ascii="Calibri" w:hAnsi="Calibri" w:cs="Calibri"/>
          <w:b/>
          <w:bCs/>
          <w:color w:val="000000" w:themeColor="text1"/>
        </w:rPr>
        <w:t xml:space="preserve">Gaps in Scottish data: </w:t>
      </w:r>
      <w:r w:rsidRPr="052A7B32">
        <w:rPr>
          <w:rFonts w:ascii="Calibri" w:hAnsi="Calibri" w:cs="Calibri"/>
          <w:color w:val="000000" w:themeColor="text1"/>
        </w:rPr>
        <w:t>Available Scottish data are based on parent</w:t>
      </w:r>
      <w:r w:rsidR="00F7712B" w:rsidRPr="052A7B32">
        <w:rPr>
          <w:rFonts w:ascii="Calibri" w:hAnsi="Calibri" w:cs="Calibri"/>
          <w:color w:val="000000" w:themeColor="text1"/>
        </w:rPr>
        <w:t>al/self-</w:t>
      </w:r>
      <w:r w:rsidR="002835A9" w:rsidRPr="052A7B32">
        <w:rPr>
          <w:rFonts w:ascii="Calibri" w:hAnsi="Calibri" w:cs="Calibri"/>
          <w:color w:val="000000" w:themeColor="text1"/>
        </w:rPr>
        <w:t xml:space="preserve">report and do not </w:t>
      </w:r>
      <w:r w:rsidR="3C7970B3" w:rsidRPr="052A7B32">
        <w:rPr>
          <w:rFonts w:ascii="Calibri" w:hAnsi="Calibri" w:cs="Calibri"/>
          <w:color w:val="000000" w:themeColor="text1"/>
        </w:rPr>
        <w:t xml:space="preserve">always </w:t>
      </w:r>
      <w:r w:rsidRPr="052A7B32">
        <w:rPr>
          <w:rFonts w:ascii="Calibri" w:hAnsi="Calibri" w:cs="Calibri"/>
          <w:color w:val="000000" w:themeColor="text1"/>
        </w:rPr>
        <w:t xml:space="preserve">report relative to the </w:t>
      </w:r>
      <w:r w:rsidR="008106F8">
        <w:rPr>
          <w:rFonts w:ascii="Calibri" w:hAnsi="Calibri" w:cs="Calibri"/>
          <w:color w:val="000000" w:themeColor="text1"/>
        </w:rPr>
        <w:t xml:space="preserve">international </w:t>
      </w:r>
      <w:r w:rsidRPr="052A7B32">
        <w:rPr>
          <w:rFonts w:ascii="Calibri" w:hAnsi="Calibri" w:cs="Calibri"/>
          <w:color w:val="000000" w:themeColor="text1"/>
        </w:rPr>
        <w:t>benchmark of 2 hours recreational screen-time/day</w:t>
      </w:r>
      <w:r w:rsidR="002835A9" w:rsidRPr="052A7B32">
        <w:rPr>
          <w:rFonts w:ascii="Calibri" w:hAnsi="Calibri" w:cs="Calibri"/>
          <w:color w:val="000000" w:themeColor="text1"/>
        </w:rPr>
        <w:t>, or do not provide data for an average day (taking into account differences between weekdays and weekends and schooldays versus non schooldays)</w:t>
      </w:r>
      <w:r w:rsidR="00B73B01" w:rsidRPr="052A7B32">
        <w:rPr>
          <w:rFonts w:ascii="Calibri" w:hAnsi="Calibri" w:cs="Calibri"/>
          <w:color w:val="000000" w:themeColor="text1"/>
        </w:rPr>
        <w:t>, and do not always add times spent on screens to provide total screen time.</w:t>
      </w:r>
      <w:r w:rsidRPr="052A7B32">
        <w:rPr>
          <w:rFonts w:ascii="Calibri" w:hAnsi="Calibri" w:cs="Calibri"/>
          <w:color w:val="000000" w:themeColor="text1"/>
        </w:rPr>
        <w:t xml:space="preserve"> </w:t>
      </w:r>
      <w:r w:rsidR="7D70768E" w:rsidRPr="052A7B32">
        <w:rPr>
          <w:rFonts w:ascii="Calibri" w:hAnsi="Calibri" w:cs="Calibri"/>
          <w:color w:val="000000" w:themeColor="text1"/>
        </w:rPr>
        <w:t>Surveillance of screen time is fairly good for adolescents (HBSC, 11, 13, and 15 year olds) but much more limited for children.</w:t>
      </w:r>
    </w:p>
    <w:p w14:paraId="7D6A0838" w14:textId="79F43C1C" w:rsidR="0038102E" w:rsidRPr="00D861BF" w:rsidRDefault="00B91ED0" w:rsidP="00354051">
      <w:pPr>
        <w:autoSpaceDE w:val="0"/>
        <w:autoSpaceDN w:val="0"/>
        <w:adjustRightInd w:val="0"/>
        <w:spacing w:line="240" w:lineRule="auto"/>
        <w:rPr>
          <w:rFonts w:ascii="Calibri" w:hAnsi="Calibri" w:cs="Calibri"/>
          <w:b/>
          <w:bCs/>
          <w:color w:val="000000"/>
        </w:rPr>
      </w:pPr>
      <w:r w:rsidRPr="691BBDFC">
        <w:rPr>
          <w:rFonts w:ascii="Calibri" w:hAnsi="Calibri" w:cs="Calibri"/>
          <w:b/>
          <w:bCs/>
          <w:color w:val="000000" w:themeColor="text1"/>
        </w:rPr>
        <w:t xml:space="preserve">DATA SOURCE 1 HEALTH BEHAVIOURS IN SCHOOL-AGE CHILDREN SCOTLAND HBSC 2018 (PUBLISHED IN </w:t>
      </w:r>
      <w:r w:rsidR="034F5778" w:rsidRPr="691BBDFC">
        <w:rPr>
          <w:rFonts w:ascii="Calibri" w:hAnsi="Calibri" w:cs="Calibri"/>
          <w:b/>
          <w:bCs/>
          <w:color w:val="000000" w:themeColor="text1"/>
        </w:rPr>
        <w:t>JANUARY 2020</w:t>
      </w:r>
      <w:r w:rsidRPr="691BBDFC">
        <w:rPr>
          <w:rFonts w:ascii="Calibri" w:hAnsi="Calibri" w:cs="Calibri"/>
          <w:b/>
          <w:bCs/>
          <w:color w:val="000000" w:themeColor="text1"/>
        </w:rPr>
        <w:t>, REPORTED ON ADOLESCENTS, IE 11,13, AND 15</w:t>
      </w:r>
      <w:r w:rsidR="5373785C" w:rsidRPr="691BBDFC">
        <w:rPr>
          <w:rFonts w:ascii="Calibri" w:hAnsi="Calibri" w:cs="Calibri"/>
          <w:b/>
          <w:bCs/>
          <w:color w:val="000000" w:themeColor="text1"/>
        </w:rPr>
        <w:t xml:space="preserve"> </w:t>
      </w:r>
      <w:r w:rsidRPr="691BBDFC">
        <w:rPr>
          <w:rFonts w:ascii="Calibri" w:hAnsi="Calibri" w:cs="Calibri"/>
          <w:b/>
          <w:bCs/>
          <w:color w:val="000000" w:themeColor="text1"/>
        </w:rPr>
        <w:t>Y</w:t>
      </w:r>
      <w:r w:rsidR="157AB660" w:rsidRPr="691BBDFC">
        <w:rPr>
          <w:rFonts w:ascii="Calibri" w:hAnsi="Calibri" w:cs="Calibri"/>
          <w:b/>
          <w:bCs/>
          <w:color w:val="000000" w:themeColor="text1"/>
        </w:rPr>
        <w:t>EAR</w:t>
      </w:r>
      <w:r w:rsidRPr="691BBDFC">
        <w:rPr>
          <w:rFonts w:ascii="Calibri" w:hAnsi="Calibri" w:cs="Calibri"/>
          <w:b/>
          <w:bCs/>
          <w:color w:val="000000" w:themeColor="text1"/>
        </w:rPr>
        <w:t xml:space="preserve"> OLDS)</w:t>
      </w:r>
      <w:r w:rsidR="00D861BF" w:rsidRPr="691BBDFC">
        <w:rPr>
          <w:rFonts w:ascii="Calibri" w:hAnsi="Calibri" w:cs="Calibri"/>
          <w:b/>
          <w:bCs/>
          <w:color w:val="000000" w:themeColor="text1"/>
        </w:rPr>
        <w:t xml:space="preserve"> </w:t>
      </w:r>
      <w:r w:rsidR="0038102E" w:rsidRPr="691BBDFC">
        <w:rPr>
          <w:rFonts w:ascii="Calibri" w:hAnsi="Calibri" w:cs="Calibri"/>
          <w:color w:val="000000" w:themeColor="text1"/>
        </w:rPr>
        <w:t xml:space="preserve">This survey found some differences between boys and girls, </w:t>
      </w:r>
      <w:r w:rsidR="002835A9" w:rsidRPr="691BBDFC">
        <w:rPr>
          <w:rFonts w:ascii="Calibri" w:hAnsi="Calibri" w:cs="Calibri"/>
          <w:color w:val="000000" w:themeColor="text1"/>
        </w:rPr>
        <w:t xml:space="preserve">differences by age </w:t>
      </w:r>
      <w:r w:rsidR="0038102E" w:rsidRPr="691BBDFC">
        <w:rPr>
          <w:rFonts w:ascii="Calibri" w:hAnsi="Calibri" w:cs="Calibri"/>
          <w:color w:val="000000" w:themeColor="text1"/>
        </w:rPr>
        <w:t xml:space="preserve">some differences by type of screen-time measured, and social inequalities. Data are presented as % of the samples exceeding 2 hours on screens </w:t>
      </w:r>
      <w:r w:rsidR="006C1D46" w:rsidRPr="691BBDFC">
        <w:rPr>
          <w:rFonts w:ascii="Calibri" w:hAnsi="Calibri" w:cs="Calibri"/>
          <w:color w:val="000000" w:themeColor="text1"/>
        </w:rPr>
        <w:t xml:space="preserve">during </w:t>
      </w:r>
      <w:r w:rsidR="47D6A0EB" w:rsidRPr="691BBDFC">
        <w:rPr>
          <w:rFonts w:ascii="Calibri" w:hAnsi="Calibri" w:cs="Calibri"/>
          <w:color w:val="000000" w:themeColor="text1"/>
        </w:rPr>
        <w:t xml:space="preserve">free-time on </w:t>
      </w:r>
      <w:r w:rsidR="0038102E" w:rsidRPr="691BBDFC">
        <w:rPr>
          <w:rFonts w:ascii="Calibri" w:hAnsi="Calibri" w:cs="Calibri"/>
          <w:color w:val="000000" w:themeColor="text1"/>
        </w:rPr>
        <w:t>weekdays (which will underestimate total screen time, see below) as follows</w:t>
      </w:r>
    </w:p>
    <w:p w14:paraId="67CA4E6B" w14:textId="77777777" w:rsidR="0038102E" w:rsidRDefault="0038102E" w:rsidP="0038102E">
      <w:pPr>
        <w:pStyle w:val="ListParagraph"/>
        <w:numPr>
          <w:ilvl w:val="0"/>
          <w:numId w:val="2"/>
        </w:numPr>
        <w:autoSpaceDE w:val="0"/>
        <w:autoSpaceDN w:val="0"/>
        <w:adjustRightInd w:val="0"/>
        <w:spacing w:line="240" w:lineRule="auto"/>
        <w:rPr>
          <w:rFonts w:ascii="Calibri" w:hAnsi="Calibri" w:cs="Calibri"/>
          <w:bCs/>
          <w:color w:val="000000"/>
        </w:rPr>
      </w:pPr>
      <w:r>
        <w:rPr>
          <w:rFonts w:ascii="Calibri" w:hAnsi="Calibri" w:cs="Calibri"/>
          <w:bCs/>
          <w:color w:val="000000"/>
        </w:rPr>
        <w:t>TV on Weekdays</w:t>
      </w:r>
    </w:p>
    <w:p w14:paraId="572F454C" w14:textId="77777777" w:rsidR="0038102E" w:rsidRDefault="0038102E" w:rsidP="0038102E">
      <w:pPr>
        <w:pStyle w:val="ListParagraph"/>
        <w:numPr>
          <w:ilvl w:val="0"/>
          <w:numId w:val="2"/>
        </w:numPr>
        <w:autoSpaceDE w:val="0"/>
        <w:autoSpaceDN w:val="0"/>
        <w:adjustRightInd w:val="0"/>
        <w:spacing w:line="240" w:lineRule="auto"/>
        <w:rPr>
          <w:rFonts w:ascii="Calibri" w:hAnsi="Calibri" w:cs="Calibri"/>
          <w:bCs/>
          <w:color w:val="000000"/>
        </w:rPr>
      </w:pPr>
      <w:r>
        <w:rPr>
          <w:rFonts w:ascii="Calibri" w:hAnsi="Calibri" w:cs="Calibri"/>
          <w:bCs/>
          <w:color w:val="000000"/>
        </w:rPr>
        <w:t>Computer Gaming on Weekdays</w:t>
      </w:r>
    </w:p>
    <w:p w14:paraId="4B825A10" w14:textId="77777777" w:rsidR="0038102E" w:rsidRDefault="0038102E" w:rsidP="052A7B32">
      <w:pPr>
        <w:pStyle w:val="ListParagraph"/>
        <w:numPr>
          <w:ilvl w:val="0"/>
          <w:numId w:val="2"/>
        </w:numPr>
        <w:autoSpaceDE w:val="0"/>
        <w:autoSpaceDN w:val="0"/>
        <w:adjustRightInd w:val="0"/>
        <w:spacing w:line="240" w:lineRule="auto"/>
        <w:rPr>
          <w:rFonts w:ascii="Calibri" w:hAnsi="Calibri" w:cs="Calibri"/>
          <w:color w:val="000000"/>
        </w:rPr>
      </w:pPr>
      <w:r w:rsidRPr="052A7B32">
        <w:rPr>
          <w:rFonts w:ascii="Calibri" w:hAnsi="Calibri" w:cs="Calibri"/>
          <w:color w:val="000000" w:themeColor="text1"/>
        </w:rPr>
        <w:t>Computer time Other Than Gaming on Weekdays</w:t>
      </w:r>
    </w:p>
    <w:p w14:paraId="68899604" w14:textId="04BFDC2C" w:rsidR="67C4D54D" w:rsidRDefault="67C4D54D" w:rsidP="052A7B32">
      <w:pPr>
        <w:pStyle w:val="ListParagraph"/>
        <w:numPr>
          <w:ilvl w:val="0"/>
          <w:numId w:val="2"/>
        </w:numPr>
        <w:spacing w:line="240" w:lineRule="auto"/>
        <w:rPr>
          <w:color w:val="000000" w:themeColor="text1"/>
        </w:rPr>
      </w:pPr>
      <w:r w:rsidRPr="052A7B32">
        <w:rPr>
          <w:rFonts w:ascii="Calibri" w:hAnsi="Calibri" w:cs="Calibri"/>
          <w:color w:val="000000" w:themeColor="text1"/>
        </w:rPr>
        <w:t xml:space="preserve">Note that there is a good deal of evidence </w:t>
      </w:r>
      <w:r w:rsidR="3E69448F" w:rsidRPr="052A7B32">
        <w:rPr>
          <w:rFonts w:ascii="Calibri" w:hAnsi="Calibri" w:cs="Calibri"/>
          <w:color w:val="000000" w:themeColor="text1"/>
        </w:rPr>
        <w:t xml:space="preserve">(including from previous HBSC Scotland reports) </w:t>
      </w:r>
      <w:r w:rsidRPr="052A7B32">
        <w:rPr>
          <w:rFonts w:ascii="Calibri" w:hAnsi="Calibri" w:cs="Calibri"/>
          <w:color w:val="000000" w:themeColor="text1"/>
        </w:rPr>
        <w:t>that free-time screen time is significantly higher on weekends and school holidays (unstructured days</w:t>
      </w:r>
      <w:r w:rsidR="02FEC71D" w:rsidRPr="052A7B32">
        <w:rPr>
          <w:rFonts w:ascii="Calibri" w:hAnsi="Calibri" w:cs="Calibri"/>
          <w:color w:val="000000" w:themeColor="text1"/>
        </w:rPr>
        <w:t>, almost half of all days during the year</w:t>
      </w:r>
      <w:r w:rsidRPr="052A7B32">
        <w:rPr>
          <w:rFonts w:ascii="Calibri" w:hAnsi="Calibri" w:cs="Calibri"/>
          <w:color w:val="000000" w:themeColor="text1"/>
        </w:rPr>
        <w:t>), so these screen-time estimates from HBSC 20</w:t>
      </w:r>
      <w:r w:rsidR="29A8BE6D" w:rsidRPr="052A7B32">
        <w:rPr>
          <w:rFonts w:ascii="Calibri" w:hAnsi="Calibri" w:cs="Calibri"/>
          <w:color w:val="000000" w:themeColor="text1"/>
        </w:rPr>
        <w:t>18 are likely to be conservative</w:t>
      </w:r>
    </w:p>
    <w:p w14:paraId="62C5EF67" w14:textId="625016D8" w:rsidR="002835A9" w:rsidRDefault="002835A9" w:rsidP="4D612737">
      <w:pPr>
        <w:autoSpaceDE w:val="0"/>
        <w:autoSpaceDN w:val="0"/>
        <w:adjustRightInd w:val="0"/>
        <w:spacing w:line="240" w:lineRule="auto"/>
        <w:rPr>
          <w:rFonts w:ascii="Calibri" w:hAnsi="Calibri" w:cs="Calibri"/>
          <w:color w:val="000000"/>
        </w:rPr>
      </w:pPr>
      <w:r w:rsidRPr="691BBDFC">
        <w:rPr>
          <w:rFonts w:ascii="Calibri" w:hAnsi="Calibri" w:cs="Calibri"/>
          <w:b/>
          <w:bCs/>
          <w:color w:val="000000" w:themeColor="text1"/>
        </w:rPr>
        <w:t>Summary of TV Viewing on Weekdays</w:t>
      </w:r>
      <w:r w:rsidRPr="691BBDFC">
        <w:rPr>
          <w:rFonts w:ascii="Calibri" w:hAnsi="Calibri" w:cs="Calibri"/>
          <w:color w:val="000000" w:themeColor="text1"/>
        </w:rPr>
        <w:t xml:space="preserve"> (% of sample exceeding 2 hours/weekday)</w:t>
      </w:r>
      <w:r>
        <w:br/>
      </w:r>
      <w:r w:rsidRPr="691BBDFC">
        <w:rPr>
          <w:rFonts w:ascii="Calibri" w:hAnsi="Calibri" w:cs="Calibri"/>
          <w:color w:val="000000" w:themeColor="text1"/>
        </w:rPr>
        <w:t>Boys: 11y 69%; 13y 70%; 15y 73%.</w:t>
      </w:r>
      <w:r w:rsidR="006C1D46" w:rsidRPr="691BBDFC">
        <w:rPr>
          <w:rFonts w:ascii="Calibri" w:hAnsi="Calibri" w:cs="Calibri"/>
          <w:color w:val="000000" w:themeColor="text1"/>
        </w:rPr>
        <w:t xml:space="preserve"> </w:t>
      </w:r>
      <w:r w:rsidRPr="691BBDFC">
        <w:rPr>
          <w:rFonts w:ascii="Calibri" w:hAnsi="Calibri" w:cs="Calibri"/>
          <w:color w:val="000000" w:themeColor="text1"/>
        </w:rPr>
        <w:t xml:space="preserve">Girls: 11y 60%; 13y 68%; 15y 68%.Combined: </w:t>
      </w:r>
      <w:r w:rsidRPr="00A43BBA">
        <w:rPr>
          <w:rFonts w:ascii="Calibri" w:hAnsi="Calibri" w:cs="Calibri"/>
          <w:color w:val="000000" w:themeColor="text1"/>
        </w:rPr>
        <w:t>68%</w:t>
      </w:r>
      <w:r w:rsidRPr="691BBDFC">
        <w:rPr>
          <w:rFonts w:ascii="Calibri" w:hAnsi="Calibri" w:cs="Calibri"/>
          <w:color w:val="000000" w:themeColor="text1"/>
        </w:rPr>
        <w:t xml:space="preserve"> exceed 2 hours per day on weekdays on TV alone (and this will be higher at weekends, and when other forms of recreational screen time are added).</w:t>
      </w:r>
    </w:p>
    <w:p w14:paraId="5E7E2938" w14:textId="08431365" w:rsidR="00B73B01" w:rsidRDefault="002835A9" w:rsidP="691BBDFC">
      <w:pPr>
        <w:autoSpaceDE w:val="0"/>
        <w:autoSpaceDN w:val="0"/>
        <w:adjustRightInd w:val="0"/>
        <w:spacing w:line="240" w:lineRule="auto"/>
        <w:rPr>
          <w:rFonts w:ascii="Calibri" w:hAnsi="Calibri" w:cs="Calibri"/>
          <w:color w:val="000000"/>
        </w:rPr>
      </w:pPr>
      <w:r w:rsidRPr="691BBDFC">
        <w:rPr>
          <w:rFonts w:ascii="Calibri" w:hAnsi="Calibri" w:cs="Calibri"/>
          <w:b/>
          <w:bCs/>
          <w:color w:val="000000" w:themeColor="text1"/>
        </w:rPr>
        <w:t>Summary of Computer Gaming on Weekdays</w:t>
      </w:r>
      <w:r w:rsidRPr="691BBDFC">
        <w:rPr>
          <w:rFonts w:ascii="Calibri" w:hAnsi="Calibri" w:cs="Calibri"/>
          <w:color w:val="000000" w:themeColor="text1"/>
        </w:rPr>
        <w:t xml:space="preserve"> (% of sample exceeding 2 hours/weekday)</w:t>
      </w:r>
      <w:r w:rsidR="006C1D46" w:rsidRPr="691BBDFC">
        <w:rPr>
          <w:rFonts w:ascii="Calibri" w:hAnsi="Calibri" w:cs="Calibri"/>
          <w:color w:val="000000" w:themeColor="text1"/>
        </w:rPr>
        <w:t xml:space="preserve"> </w:t>
      </w:r>
      <w:r w:rsidRPr="691BBDFC">
        <w:rPr>
          <w:rFonts w:ascii="Calibri" w:hAnsi="Calibri" w:cs="Calibri"/>
          <w:color w:val="000000" w:themeColor="text1"/>
        </w:rPr>
        <w:t>Boys: 11y 74%; 13y 72%; 15y 68%.</w:t>
      </w:r>
      <w:r w:rsidR="006C1D46" w:rsidRPr="691BBDFC">
        <w:rPr>
          <w:rFonts w:ascii="Calibri" w:hAnsi="Calibri" w:cs="Calibri"/>
          <w:color w:val="000000" w:themeColor="text1"/>
        </w:rPr>
        <w:t xml:space="preserve"> </w:t>
      </w:r>
      <w:r w:rsidRPr="691BBDFC">
        <w:rPr>
          <w:rFonts w:ascii="Calibri" w:hAnsi="Calibri" w:cs="Calibri"/>
          <w:color w:val="000000" w:themeColor="text1"/>
        </w:rPr>
        <w:t>Girls:11y 44%; 13y 43%; 15y 40%.</w:t>
      </w:r>
      <w:r w:rsidR="006C1D46" w:rsidRPr="691BBDFC">
        <w:rPr>
          <w:rFonts w:ascii="Calibri" w:hAnsi="Calibri" w:cs="Calibri"/>
          <w:color w:val="000000" w:themeColor="text1"/>
        </w:rPr>
        <w:t xml:space="preserve">  </w:t>
      </w:r>
      <w:r w:rsidRPr="691BBDFC">
        <w:rPr>
          <w:rFonts w:ascii="Calibri" w:hAnsi="Calibri" w:cs="Calibri"/>
          <w:color w:val="000000" w:themeColor="text1"/>
        </w:rPr>
        <w:t>Combined: 56% exceed 2 hours per day gaming alone on weekdays (and this will be higher at weekends, and when other forms of recreational screen time are added).</w:t>
      </w:r>
    </w:p>
    <w:p w14:paraId="29002B47" w14:textId="7C5E804C" w:rsidR="00B73B01" w:rsidRDefault="00B73B01" w:rsidP="691BBDFC">
      <w:pPr>
        <w:autoSpaceDE w:val="0"/>
        <w:autoSpaceDN w:val="0"/>
        <w:adjustRightInd w:val="0"/>
        <w:spacing w:line="240" w:lineRule="auto"/>
        <w:rPr>
          <w:rFonts w:ascii="Calibri" w:hAnsi="Calibri" w:cs="Calibri"/>
          <w:color w:val="000000"/>
        </w:rPr>
      </w:pPr>
      <w:r w:rsidRPr="691BBDFC">
        <w:rPr>
          <w:rFonts w:ascii="Calibri" w:hAnsi="Calibri" w:cs="Calibri"/>
          <w:b/>
          <w:bCs/>
          <w:color w:val="000000" w:themeColor="text1"/>
        </w:rPr>
        <w:t>Summary of Computer Use Other than Gaming on Weekdays</w:t>
      </w:r>
      <w:r w:rsidRPr="691BBDFC">
        <w:rPr>
          <w:rFonts w:ascii="Calibri" w:hAnsi="Calibri" w:cs="Calibri"/>
          <w:color w:val="000000" w:themeColor="text1"/>
        </w:rPr>
        <w:t xml:space="preserve"> (% of sample exceeding 2 hours/weekday)</w:t>
      </w:r>
      <w:r w:rsidR="006C1D46" w:rsidRPr="691BBDFC">
        <w:rPr>
          <w:rFonts w:ascii="Calibri" w:hAnsi="Calibri" w:cs="Calibri"/>
          <w:color w:val="000000" w:themeColor="text1"/>
        </w:rPr>
        <w:t xml:space="preserve"> </w:t>
      </w:r>
      <w:r w:rsidRPr="691BBDFC">
        <w:rPr>
          <w:rFonts w:ascii="Calibri" w:hAnsi="Calibri" w:cs="Calibri"/>
          <w:color w:val="000000" w:themeColor="text1"/>
        </w:rPr>
        <w:t>Boys 63%; Girls 66%.</w:t>
      </w:r>
    </w:p>
    <w:p w14:paraId="068905C8" w14:textId="646666EF" w:rsidR="00B73B01" w:rsidRPr="00A43BBA" w:rsidRDefault="4E41E15C" w:rsidP="00A43BBA">
      <w:pPr>
        <w:spacing w:line="240" w:lineRule="auto"/>
        <w:rPr>
          <w:rFonts w:ascii="Calibri" w:hAnsi="Calibri" w:cs="Calibri"/>
          <w:color w:val="000000" w:themeColor="text1"/>
        </w:rPr>
      </w:pPr>
      <w:r w:rsidRPr="052A7B32">
        <w:rPr>
          <w:rFonts w:ascii="Calibri" w:hAnsi="Calibri" w:cs="Calibri"/>
          <w:b/>
          <w:bCs/>
          <w:color w:val="000000" w:themeColor="text1"/>
        </w:rPr>
        <w:t>Summed Screen</w:t>
      </w:r>
      <w:r w:rsidR="3B3D15EA" w:rsidRPr="052A7B32">
        <w:rPr>
          <w:rFonts w:ascii="Calibri" w:hAnsi="Calibri" w:cs="Calibri"/>
          <w:b/>
          <w:bCs/>
          <w:color w:val="000000" w:themeColor="text1"/>
        </w:rPr>
        <w:t xml:space="preserve"> Time Data, All Forms of Screen Time Added </w:t>
      </w:r>
      <w:r w:rsidR="3B3D15EA" w:rsidRPr="052A7B32">
        <w:rPr>
          <w:rFonts w:ascii="Calibri" w:hAnsi="Calibri" w:cs="Calibri"/>
          <w:color w:val="000000" w:themeColor="text1"/>
        </w:rPr>
        <w:t>These data are not in</w:t>
      </w:r>
      <w:r w:rsidR="355AB1A8" w:rsidRPr="052A7B32">
        <w:rPr>
          <w:rFonts w:ascii="Calibri" w:hAnsi="Calibri" w:cs="Calibri"/>
          <w:color w:val="000000" w:themeColor="text1"/>
        </w:rPr>
        <w:t xml:space="preserve"> the main HBSC report but are available. Adding the various forms of free-time screen time together produces much higher levels of estimated screen time. </w:t>
      </w:r>
      <w:r w:rsidR="6BE3FEBE" w:rsidRPr="052A7B32">
        <w:rPr>
          <w:rFonts w:ascii="Calibri" w:hAnsi="Calibri" w:cs="Calibri"/>
          <w:color w:val="000000" w:themeColor="text1"/>
        </w:rPr>
        <w:t>For example, summed screen time data across the week from HBSC 2014 suggests that mean total screen time during free time is around 9 hours/day (SD 6) in boys and around 8</w:t>
      </w:r>
      <w:r w:rsidR="2A88E3F0" w:rsidRPr="052A7B32">
        <w:rPr>
          <w:rFonts w:ascii="Calibri" w:hAnsi="Calibri" w:cs="Calibri"/>
          <w:color w:val="000000" w:themeColor="text1"/>
        </w:rPr>
        <w:t xml:space="preserve"> hours/ day (SD 5) in girls</w:t>
      </w:r>
      <w:r w:rsidR="008106F8">
        <w:rPr>
          <w:rFonts w:ascii="Calibri" w:hAnsi="Calibri" w:cs="Calibri"/>
          <w:color w:val="000000" w:themeColor="text1"/>
        </w:rPr>
        <w:t xml:space="preserve"> and these values have increased over time in HBSC to HBSC 2018</w:t>
      </w:r>
      <w:r w:rsidR="2A88E3F0" w:rsidRPr="052A7B32">
        <w:rPr>
          <w:rFonts w:ascii="Calibri" w:hAnsi="Calibri" w:cs="Calibri"/>
          <w:color w:val="000000" w:themeColor="text1"/>
        </w:rPr>
        <w:t>.</w:t>
      </w:r>
    </w:p>
    <w:p w14:paraId="5699796A" w14:textId="11CD0299" w:rsidR="00D861BF" w:rsidRDefault="008106F8">
      <w:pPr>
        <w:rPr>
          <w:rFonts w:ascii="Calibri" w:hAnsi="Calibri" w:cs="Calibri"/>
          <w:bCs/>
          <w:color w:val="000000"/>
        </w:rPr>
      </w:pPr>
      <w:r w:rsidRPr="008106F8">
        <w:rPr>
          <w:rFonts w:ascii="Calibri" w:hAnsi="Calibri" w:cs="Calibri"/>
          <w:b/>
          <w:color w:val="000000" w:themeColor="text1"/>
        </w:rPr>
        <w:t>S</w:t>
      </w:r>
      <w:r w:rsidR="00A43BBA" w:rsidRPr="008106F8">
        <w:rPr>
          <w:rFonts w:ascii="Calibri" w:hAnsi="Calibri" w:cs="Calibri"/>
          <w:b/>
          <w:color w:val="000000" w:themeColor="text1"/>
        </w:rPr>
        <w:t>ocio-economic inequalities</w:t>
      </w:r>
      <w:r w:rsidR="00A43BBA" w:rsidRPr="052A7B32">
        <w:rPr>
          <w:rFonts w:ascii="Calibri" w:hAnsi="Calibri" w:cs="Calibri"/>
          <w:color w:val="000000" w:themeColor="text1"/>
        </w:rPr>
        <w:t xml:space="preserve"> are marked: Across all three domains of screen-time (TV, Gaming, Non-Gaming) % exceeding 2 hours/weekday was much higher in the most deprived vs least deprived. HBSC uses a ‘family affluence scale’ to compare between low, medium, and high SES groups. </w:t>
      </w:r>
      <w:r w:rsidR="00A43BBA">
        <w:rPr>
          <w:rFonts w:ascii="Calibri" w:hAnsi="Calibri" w:cs="Calibri"/>
          <w:b/>
          <w:bCs/>
          <w:color w:val="000000" w:themeColor="text1"/>
        </w:rPr>
        <w:t>P</w:t>
      </w:r>
      <w:r w:rsidR="00A43BBA" w:rsidRPr="052A7B32">
        <w:rPr>
          <w:rFonts w:ascii="Calibri" w:hAnsi="Calibri" w:cs="Calibri"/>
          <w:b/>
          <w:bCs/>
          <w:color w:val="000000" w:themeColor="text1"/>
        </w:rPr>
        <w:t>roblematic screen time is the norm but is much more common among more</w:t>
      </w:r>
      <w:r w:rsidR="00A43BBA">
        <w:rPr>
          <w:rFonts w:ascii="Calibri" w:hAnsi="Calibri" w:cs="Calibri"/>
          <w:b/>
          <w:bCs/>
          <w:color w:val="000000" w:themeColor="text1"/>
        </w:rPr>
        <w:t xml:space="preserve"> deprived adolescents in HBSC</w:t>
      </w:r>
    </w:p>
    <w:p w14:paraId="58D3CCEB" w14:textId="59686275" w:rsidR="00D861BF" w:rsidRDefault="00D861BF" w:rsidP="002835A9">
      <w:pPr>
        <w:autoSpaceDE w:val="0"/>
        <w:autoSpaceDN w:val="0"/>
        <w:adjustRightInd w:val="0"/>
        <w:spacing w:line="240" w:lineRule="auto"/>
        <w:rPr>
          <w:rFonts w:ascii="Calibri" w:hAnsi="Calibri" w:cs="Calibri"/>
          <w:bCs/>
          <w:color w:val="000000"/>
        </w:rPr>
      </w:pPr>
    </w:p>
    <w:p w14:paraId="50694569" w14:textId="7A360A46" w:rsidR="00B73B01" w:rsidRPr="00B91ED0" w:rsidRDefault="00A43BBA" w:rsidP="006D71D3">
      <w:pPr>
        <w:autoSpaceDE w:val="0"/>
        <w:autoSpaceDN w:val="0"/>
        <w:adjustRightInd w:val="0"/>
        <w:spacing w:line="240" w:lineRule="auto"/>
        <w:rPr>
          <w:rFonts w:ascii="Calibri" w:hAnsi="Calibri" w:cs="Calibri"/>
          <w:b/>
          <w:bCs/>
          <w:color w:val="000000"/>
        </w:rPr>
      </w:pPr>
      <w:r w:rsidRPr="006D71D3">
        <w:rPr>
          <w:rFonts w:ascii="Calibri" w:hAnsi="Calibri" w:cs="Calibri"/>
          <w:b/>
          <w:bCs/>
          <w:color w:val="000000"/>
        </w:rPr>
        <w:t xml:space="preserve">DATA SOURCE 2 SCOTTISH HEALTH SURVEY 2019 (PUBLISHED 2020, </w:t>
      </w:r>
      <w:r w:rsidR="006D71D3" w:rsidRPr="006D71D3">
        <w:rPr>
          <w:rFonts w:ascii="Calibri" w:hAnsi="Calibri" w:cs="Calibri"/>
          <w:b/>
          <w:bCs/>
          <w:color w:val="000000"/>
        </w:rPr>
        <w:t>REPORTS DATA FROM 2-15 YEAR OLDS)</w:t>
      </w:r>
    </w:p>
    <w:p w14:paraId="7198B884" w14:textId="47518853" w:rsidR="00B46912" w:rsidRDefault="007F29E2" w:rsidP="2E47FF61">
      <w:pPr>
        <w:autoSpaceDE w:val="0"/>
        <w:autoSpaceDN w:val="0"/>
        <w:adjustRightInd w:val="0"/>
        <w:spacing w:after="0" w:line="240" w:lineRule="auto"/>
        <w:rPr>
          <w:rFonts w:ascii="Calibri" w:hAnsi="Calibri" w:cs="Calibri"/>
          <w:color w:val="000000"/>
        </w:rPr>
      </w:pPr>
      <w:r w:rsidRPr="7E62BFD6">
        <w:rPr>
          <w:rFonts w:ascii="Calibri" w:hAnsi="Calibri" w:cs="Calibri"/>
          <w:color w:val="000000" w:themeColor="text1"/>
        </w:rPr>
        <w:t>SHeS 2</w:t>
      </w:r>
      <w:r w:rsidR="00D861BF" w:rsidRPr="7E62BFD6">
        <w:rPr>
          <w:rFonts w:ascii="Calibri" w:hAnsi="Calibri" w:cs="Calibri"/>
          <w:color w:val="000000" w:themeColor="text1"/>
        </w:rPr>
        <w:t xml:space="preserve">019 summarised </w:t>
      </w:r>
      <w:r w:rsidR="006D71D3">
        <w:rPr>
          <w:rFonts w:ascii="Calibri" w:hAnsi="Calibri" w:cs="Calibri"/>
          <w:color w:val="000000" w:themeColor="text1"/>
        </w:rPr>
        <w:t>reported sedentary leisure time</w:t>
      </w:r>
      <w:r w:rsidR="00D861BF" w:rsidRPr="7E62BFD6">
        <w:rPr>
          <w:rFonts w:ascii="Calibri" w:hAnsi="Calibri" w:cs="Calibri"/>
          <w:color w:val="000000" w:themeColor="text1"/>
        </w:rPr>
        <w:t xml:space="preserve"> (screen and non-screen). There are no specific guidelines or benchmarks for this behaviour</w:t>
      </w:r>
      <w:r w:rsidR="12B12C0F" w:rsidRPr="7E62BFD6">
        <w:rPr>
          <w:rFonts w:ascii="Calibri" w:hAnsi="Calibri" w:cs="Calibri"/>
          <w:color w:val="000000" w:themeColor="text1"/>
        </w:rPr>
        <w:t xml:space="preserve"> </w:t>
      </w:r>
      <w:r w:rsidR="006D71D3">
        <w:rPr>
          <w:rFonts w:ascii="Calibri" w:hAnsi="Calibri" w:cs="Calibri"/>
          <w:color w:val="000000" w:themeColor="text1"/>
        </w:rPr>
        <w:t>so it cannot be graded. In addition, there is</w:t>
      </w:r>
      <w:r w:rsidR="12B12C0F" w:rsidRPr="7E62BFD6">
        <w:rPr>
          <w:rFonts w:ascii="Calibri" w:hAnsi="Calibri" w:cs="Calibri"/>
          <w:color w:val="000000" w:themeColor="text1"/>
        </w:rPr>
        <w:t xml:space="preserve"> no evidence on reliability of validity</w:t>
      </w:r>
      <w:r w:rsidR="00D861BF" w:rsidRPr="7E62BFD6">
        <w:rPr>
          <w:rFonts w:ascii="Calibri" w:hAnsi="Calibri" w:cs="Calibri"/>
          <w:color w:val="000000" w:themeColor="text1"/>
        </w:rPr>
        <w:t>.</w:t>
      </w:r>
      <w:r w:rsidR="00AC1512" w:rsidRPr="7E62BFD6">
        <w:rPr>
          <w:rFonts w:ascii="Calibri" w:hAnsi="Calibri" w:cs="Calibri"/>
          <w:color w:val="000000" w:themeColor="text1"/>
        </w:rPr>
        <w:t xml:space="preserve"> </w:t>
      </w:r>
      <w:r w:rsidR="006D71D3">
        <w:rPr>
          <w:rFonts w:ascii="Calibri" w:hAnsi="Calibri" w:cs="Calibri"/>
          <w:color w:val="000000" w:themeColor="text1"/>
        </w:rPr>
        <w:t>The variable</w:t>
      </w:r>
      <w:r w:rsidRPr="7E62BFD6">
        <w:rPr>
          <w:rFonts w:ascii="Calibri" w:hAnsi="Calibri" w:cs="Calibri"/>
          <w:color w:val="000000" w:themeColor="text1"/>
        </w:rPr>
        <w:t xml:space="preserve"> was substantially higher at weekends than weekday</w:t>
      </w:r>
      <w:r w:rsidR="00D861BF" w:rsidRPr="7E62BFD6">
        <w:rPr>
          <w:rFonts w:ascii="Calibri" w:hAnsi="Calibri" w:cs="Calibri"/>
          <w:color w:val="000000" w:themeColor="text1"/>
        </w:rPr>
        <w:t>s. Data are given as mean sedentary leisure</w:t>
      </w:r>
      <w:r w:rsidRPr="7E62BFD6">
        <w:rPr>
          <w:rFonts w:ascii="Calibri" w:hAnsi="Calibri" w:cs="Calibri"/>
          <w:color w:val="000000" w:themeColor="text1"/>
        </w:rPr>
        <w:t xml:space="preserve"> times on weekdays and weekends for boys and girls separately.</w:t>
      </w:r>
    </w:p>
    <w:p w14:paraId="0AEB84F6" w14:textId="77777777" w:rsidR="00B46912" w:rsidRDefault="00B46912" w:rsidP="002835A9">
      <w:pPr>
        <w:autoSpaceDE w:val="0"/>
        <w:autoSpaceDN w:val="0"/>
        <w:adjustRightInd w:val="0"/>
        <w:spacing w:line="240" w:lineRule="auto"/>
        <w:rPr>
          <w:rFonts w:ascii="Calibri" w:hAnsi="Calibri" w:cs="Calibri"/>
          <w:bCs/>
          <w:color w:val="000000"/>
        </w:rPr>
      </w:pPr>
      <w:r>
        <w:rPr>
          <w:rFonts w:ascii="Calibri" w:hAnsi="Calibri" w:cs="Calibri"/>
          <w:bCs/>
          <w:color w:val="000000"/>
        </w:rPr>
        <w:t>Boys mean 3.5 hours/weekday (SD 1.5); 4.9 hours/weekend day (SD 2.3).</w:t>
      </w:r>
    </w:p>
    <w:p w14:paraId="08587F27" w14:textId="77777777" w:rsidR="00B46912" w:rsidRDefault="00B46912" w:rsidP="002835A9">
      <w:pPr>
        <w:autoSpaceDE w:val="0"/>
        <w:autoSpaceDN w:val="0"/>
        <w:adjustRightInd w:val="0"/>
        <w:spacing w:line="240" w:lineRule="auto"/>
        <w:rPr>
          <w:rFonts w:ascii="Calibri" w:hAnsi="Calibri" w:cs="Calibri"/>
          <w:bCs/>
          <w:color w:val="000000"/>
        </w:rPr>
      </w:pPr>
      <w:r>
        <w:rPr>
          <w:rFonts w:ascii="Calibri" w:hAnsi="Calibri" w:cs="Calibri"/>
          <w:bCs/>
          <w:color w:val="000000"/>
        </w:rPr>
        <w:t>Girls mean 3.6 hours/weekday (SD 1.4); 4.8 hours/weekend day (SD 2.1).</w:t>
      </w:r>
    </w:p>
    <w:p w14:paraId="4612ADF8" w14:textId="6903AEEE" w:rsidR="007F29E2" w:rsidRPr="006D71D3" w:rsidRDefault="00D861BF" w:rsidP="002835A9">
      <w:pPr>
        <w:autoSpaceDE w:val="0"/>
        <w:autoSpaceDN w:val="0"/>
        <w:adjustRightInd w:val="0"/>
        <w:spacing w:line="240" w:lineRule="auto"/>
        <w:rPr>
          <w:rFonts w:ascii="Calibri" w:hAnsi="Calibri" w:cs="Calibri"/>
          <w:bCs/>
          <w:color w:val="000000"/>
        </w:rPr>
      </w:pPr>
      <w:r w:rsidRPr="006D71D3">
        <w:rPr>
          <w:rFonts w:ascii="Calibri" w:hAnsi="Calibri" w:cs="Calibri"/>
          <w:bCs/>
          <w:color w:val="000000"/>
        </w:rPr>
        <w:t>Inequalities- there wa</w:t>
      </w:r>
      <w:r w:rsidR="006D71D3">
        <w:rPr>
          <w:rFonts w:ascii="Calibri" w:hAnsi="Calibri" w:cs="Calibri"/>
          <w:bCs/>
          <w:color w:val="000000"/>
        </w:rPr>
        <w:t>s little difference</w:t>
      </w:r>
      <w:r w:rsidRPr="006D71D3">
        <w:rPr>
          <w:rFonts w:ascii="Calibri" w:hAnsi="Calibri" w:cs="Calibri"/>
          <w:bCs/>
          <w:color w:val="000000"/>
        </w:rPr>
        <w:t xml:space="preserve"> by SIMD (though this was </w:t>
      </w:r>
      <w:r w:rsidR="00695531" w:rsidRPr="006D71D3">
        <w:rPr>
          <w:rFonts w:ascii="Calibri" w:hAnsi="Calibri" w:cs="Calibri"/>
          <w:bCs/>
          <w:color w:val="000000"/>
        </w:rPr>
        <w:t>slightly higher in the lowest SIMD category for boys at weekends only).</w:t>
      </w:r>
    </w:p>
    <w:p w14:paraId="55A8E2C7" w14:textId="77777777" w:rsidR="00354051" w:rsidRDefault="00354051" w:rsidP="00B46912">
      <w:pPr>
        <w:autoSpaceDE w:val="0"/>
        <w:autoSpaceDN w:val="0"/>
        <w:adjustRightInd w:val="0"/>
        <w:spacing w:line="240" w:lineRule="auto"/>
        <w:jc w:val="center"/>
        <w:rPr>
          <w:rFonts w:ascii="Calibri" w:hAnsi="Calibri" w:cs="Calibri"/>
          <w:b/>
          <w:bCs/>
          <w:color w:val="000000"/>
        </w:rPr>
      </w:pPr>
    </w:p>
    <w:p w14:paraId="1A3ED505" w14:textId="464260D9" w:rsidR="00E00E7F" w:rsidRPr="00534DFC" w:rsidRDefault="00B46912" w:rsidP="00B46912">
      <w:pPr>
        <w:autoSpaceDE w:val="0"/>
        <w:autoSpaceDN w:val="0"/>
        <w:adjustRightInd w:val="0"/>
        <w:spacing w:line="240" w:lineRule="auto"/>
        <w:rPr>
          <w:rFonts w:ascii="Calibri" w:hAnsi="Calibri" w:cs="Calibri"/>
          <w:b/>
          <w:bCs/>
          <w:color w:val="000000"/>
        </w:rPr>
      </w:pPr>
      <w:r>
        <w:rPr>
          <w:rFonts w:ascii="Calibri" w:hAnsi="Calibri" w:cs="Calibri"/>
          <w:b/>
          <w:bCs/>
          <w:color w:val="000000"/>
        </w:rPr>
        <w:t>INDICATOR 1 SEDENTARY BEHAVIOUR GRADING SUMMARY</w:t>
      </w:r>
      <w:r w:rsidR="00D97D23">
        <w:rPr>
          <w:rFonts w:ascii="Calibri" w:hAnsi="Calibri" w:cs="Calibri"/>
          <w:b/>
          <w:bCs/>
          <w:color w:val="000000"/>
        </w:rPr>
        <w:t xml:space="preserve"> </w:t>
      </w:r>
      <w:r w:rsidR="006D71D3">
        <w:rPr>
          <w:rFonts w:ascii="Calibri" w:hAnsi="Calibri" w:cs="Calibri"/>
          <w:color w:val="000000" w:themeColor="text1"/>
        </w:rPr>
        <w:t xml:space="preserve">The best data available are for adolescents only (11,13, and 15 year olds, from HBSC), and these data fit the </w:t>
      </w:r>
      <w:r w:rsidR="008106F8">
        <w:rPr>
          <w:rFonts w:ascii="Calibri" w:hAnsi="Calibri" w:cs="Calibri"/>
          <w:color w:val="000000" w:themeColor="text1"/>
        </w:rPr>
        <w:t xml:space="preserve">international </w:t>
      </w:r>
      <w:r w:rsidR="006D71D3">
        <w:rPr>
          <w:rFonts w:ascii="Calibri" w:hAnsi="Calibri" w:cs="Calibri"/>
          <w:color w:val="000000" w:themeColor="text1"/>
        </w:rPr>
        <w:t xml:space="preserve">benchmark. The time spent in the different forms of free-time screen time are at least partly additive and suggest that by early-adolescence most Scots </w:t>
      </w:r>
      <w:r w:rsidRPr="7E62BFD6">
        <w:rPr>
          <w:rFonts w:ascii="Calibri" w:hAnsi="Calibri" w:cs="Calibri"/>
          <w:color w:val="000000" w:themeColor="text1"/>
        </w:rPr>
        <w:t xml:space="preserve">greatly exceed </w:t>
      </w:r>
      <w:r w:rsidR="1D7C6931" w:rsidRPr="7E62BFD6">
        <w:rPr>
          <w:rFonts w:ascii="Calibri" w:hAnsi="Calibri" w:cs="Calibri"/>
          <w:color w:val="000000" w:themeColor="text1"/>
        </w:rPr>
        <w:t xml:space="preserve">3 </w:t>
      </w:r>
      <w:r w:rsidRPr="7E62BFD6">
        <w:rPr>
          <w:rFonts w:ascii="Calibri" w:hAnsi="Calibri" w:cs="Calibri"/>
          <w:color w:val="000000" w:themeColor="text1"/>
        </w:rPr>
        <w:t>hours/day recreational scr</w:t>
      </w:r>
      <w:r w:rsidR="1CE64CD2" w:rsidRPr="7E62BFD6">
        <w:rPr>
          <w:rFonts w:ascii="Calibri" w:hAnsi="Calibri" w:cs="Calibri"/>
          <w:color w:val="000000" w:themeColor="text1"/>
        </w:rPr>
        <w:t xml:space="preserve">een time </w:t>
      </w:r>
      <w:r w:rsidR="0886DC09" w:rsidRPr="7E62BFD6">
        <w:rPr>
          <w:rFonts w:ascii="Calibri" w:hAnsi="Calibri" w:cs="Calibri"/>
          <w:color w:val="000000" w:themeColor="text1"/>
        </w:rPr>
        <w:t>(1 hour more than the recommendation)</w:t>
      </w:r>
      <w:r w:rsidR="007D7439" w:rsidRPr="7E62BFD6">
        <w:rPr>
          <w:rFonts w:ascii="Calibri" w:hAnsi="Calibri" w:cs="Calibri"/>
          <w:color w:val="000000" w:themeColor="text1"/>
        </w:rPr>
        <w:t xml:space="preserve">. </w:t>
      </w:r>
      <w:r w:rsidR="007D7439" w:rsidRPr="7E62BFD6">
        <w:rPr>
          <w:rFonts w:ascii="Calibri" w:hAnsi="Calibri" w:cs="Calibri"/>
          <w:b/>
          <w:bCs/>
          <w:color w:val="000000" w:themeColor="text1"/>
        </w:rPr>
        <w:t>Based on these data (with increases in reported screen time over successive surveys</w:t>
      </w:r>
      <w:r w:rsidR="746032B8" w:rsidRPr="7E62BFD6">
        <w:rPr>
          <w:rFonts w:ascii="Calibri" w:hAnsi="Calibri" w:cs="Calibri"/>
          <w:b/>
          <w:bCs/>
          <w:color w:val="000000" w:themeColor="text1"/>
        </w:rPr>
        <w:t>, and the likelihood that 2018 HBSC weekday data underestimate total screen time</w:t>
      </w:r>
      <w:r w:rsidR="007D7439" w:rsidRPr="7E62BFD6">
        <w:rPr>
          <w:rFonts w:ascii="Calibri" w:hAnsi="Calibri" w:cs="Calibri"/>
          <w:b/>
          <w:bCs/>
          <w:color w:val="000000" w:themeColor="text1"/>
        </w:rPr>
        <w:t xml:space="preserve">) an F grade would be appropriate. </w:t>
      </w:r>
      <w:r w:rsidRPr="2E47FF61">
        <w:rPr>
          <w:rFonts w:ascii="Calibri" w:hAnsi="Calibri" w:cs="Calibri"/>
          <w:color w:val="000000" w:themeColor="text1"/>
        </w:rPr>
        <w:t xml:space="preserve">Moreover, the HBSC data </w:t>
      </w:r>
      <w:r w:rsidR="00695531" w:rsidRPr="2E47FF61">
        <w:rPr>
          <w:rFonts w:ascii="Calibri" w:hAnsi="Calibri" w:cs="Calibri"/>
          <w:color w:val="000000" w:themeColor="text1"/>
        </w:rPr>
        <w:t xml:space="preserve">also </w:t>
      </w:r>
      <w:r w:rsidRPr="2E47FF61">
        <w:rPr>
          <w:rFonts w:ascii="Calibri" w:hAnsi="Calibri" w:cs="Calibri"/>
          <w:color w:val="000000" w:themeColor="text1"/>
        </w:rPr>
        <w:t>suggest that recreational screen time is strongly socially patterned</w:t>
      </w:r>
      <w:r w:rsidR="47E6AC6F" w:rsidRPr="2E47FF61">
        <w:rPr>
          <w:rFonts w:ascii="Calibri" w:hAnsi="Calibri" w:cs="Calibri"/>
          <w:color w:val="000000" w:themeColor="text1"/>
        </w:rPr>
        <w:t xml:space="preserve"> (higher in adolescents from more deprived families), and slightly higher in boys than girls</w:t>
      </w:r>
      <w:r w:rsidRPr="2E47FF61">
        <w:rPr>
          <w:rFonts w:ascii="Calibri" w:hAnsi="Calibri" w:cs="Calibri"/>
          <w:color w:val="000000" w:themeColor="text1"/>
        </w:rPr>
        <w:t xml:space="preserve">. </w:t>
      </w:r>
    </w:p>
    <w:p w14:paraId="777EDB55" w14:textId="77777777" w:rsidR="00695531" w:rsidRDefault="00695531">
      <w:pPr>
        <w:rPr>
          <w:rFonts w:ascii="Calibri" w:hAnsi="Calibri" w:cs="Calibri"/>
          <w:bCs/>
          <w:color w:val="000000"/>
        </w:rPr>
      </w:pPr>
      <w:r>
        <w:rPr>
          <w:rFonts w:ascii="Calibri" w:hAnsi="Calibri" w:cs="Calibri"/>
          <w:bCs/>
          <w:color w:val="000000"/>
        </w:rPr>
        <w:br w:type="page"/>
      </w:r>
    </w:p>
    <w:p w14:paraId="58B146C3" w14:textId="07C822F5" w:rsidR="00B43480" w:rsidRPr="00B43480" w:rsidRDefault="00B43480" w:rsidP="00180B47">
      <w:pPr>
        <w:pStyle w:val="Heading1"/>
      </w:pPr>
      <w:bookmarkStart w:id="4" w:name="_Toc530040874"/>
      <w:bookmarkStart w:id="5" w:name="_Toc530040892"/>
      <w:bookmarkStart w:id="6" w:name="_Toc68789654"/>
      <w:r w:rsidRPr="00B43480">
        <w:t>Indicator 2: Overall Physical Activity</w:t>
      </w:r>
      <w:bookmarkEnd w:id="4"/>
      <w:bookmarkEnd w:id="5"/>
      <w:bookmarkEnd w:id="6"/>
      <w:r w:rsidR="008A7963">
        <w:t xml:space="preserve"> of Moderate-to-Vigorous Intensity (MVPA)</w:t>
      </w:r>
    </w:p>
    <w:p w14:paraId="23F47C7C" w14:textId="49300DC6" w:rsidR="00B43480" w:rsidRPr="00B43480" w:rsidRDefault="00B43480" w:rsidP="4395D074">
      <w:pPr>
        <w:autoSpaceDE w:val="0"/>
        <w:autoSpaceDN w:val="0"/>
        <w:adjustRightInd w:val="0"/>
        <w:spacing w:before="240" w:after="0" w:line="240" w:lineRule="auto"/>
        <w:rPr>
          <w:i/>
          <w:iCs/>
          <w:color w:val="FF0000"/>
        </w:rPr>
      </w:pPr>
      <w:r w:rsidRPr="4395D074">
        <w:rPr>
          <w:b/>
          <w:bCs/>
        </w:rPr>
        <w:t>Benchmark:</w:t>
      </w:r>
      <w:r w:rsidRPr="4395D074">
        <w:t xml:space="preserve"> % of children and youth who meet the Global Recommendations (WHO 20</w:t>
      </w:r>
      <w:r w:rsidR="6F632669" w:rsidRPr="4395D074">
        <w:t>20</w:t>
      </w:r>
      <w:r w:rsidRPr="4395D074">
        <w:t>) on Physical Activity for Health, which recommend that children and youth (5-18 years) accumulate an average of at least 60 minutes of moderate- to vigorous-intensity physical activity (MVPA)</w:t>
      </w:r>
      <w:r w:rsidR="00354051" w:rsidRPr="4395D074">
        <w:t xml:space="preserve"> per</w:t>
      </w:r>
      <w:r w:rsidRPr="4395D074">
        <w:t xml:space="preserve"> day. Children under 5 years of age who are capable of walking unaided should be physically active daily at any intensity for at least 180 minutes, spread throughout the day, and this should include 60 minutes/day MVPA (WHO 2019; UK Health Depts 20</w:t>
      </w:r>
      <w:r w:rsidR="312B2A81" w:rsidRPr="4395D074">
        <w:t>19</w:t>
      </w:r>
      <w:r w:rsidRPr="4395D074">
        <w:t xml:space="preserve">; Canadian Society for Exercise Physiology 2017). </w:t>
      </w:r>
    </w:p>
    <w:p w14:paraId="75586C1F" w14:textId="5B5D4ED7" w:rsidR="00B43480" w:rsidRPr="00B43480" w:rsidRDefault="00B43480" w:rsidP="00B43480">
      <w:pPr>
        <w:autoSpaceDE w:val="0"/>
        <w:autoSpaceDN w:val="0"/>
        <w:adjustRightInd w:val="0"/>
        <w:spacing w:line="240" w:lineRule="auto"/>
        <w:rPr>
          <w:rFonts w:ascii="Calibri" w:hAnsi="Calibri" w:cs="Calibri"/>
          <w:color w:val="000000"/>
        </w:rPr>
      </w:pPr>
      <w:r w:rsidRPr="4395D074">
        <w:rPr>
          <w:rFonts w:ascii="Calibri" w:hAnsi="Calibri" w:cs="Calibri"/>
          <w:b/>
          <w:bCs/>
          <w:color w:val="000000" w:themeColor="text1"/>
        </w:rPr>
        <w:t xml:space="preserve">Summary of methods of measurement: </w:t>
      </w:r>
      <w:r w:rsidRPr="4395D074">
        <w:rPr>
          <w:rFonts w:ascii="Calibri" w:hAnsi="Calibri" w:cs="Calibri"/>
          <w:color w:val="000000" w:themeColor="text1"/>
        </w:rPr>
        <w:t>Survey data used self/parent report of physical activity or MVPA which creates some doubt about the accuracy of measurement</w:t>
      </w:r>
      <w:r w:rsidR="11B0FCD4" w:rsidRPr="4395D074">
        <w:rPr>
          <w:rFonts w:ascii="Calibri" w:hAnsi="Calibri" w:cs="Calibri"/>
          <w:color w:val="000000" w:themeColor="text1"/>
        </w:rPr>
        <w:t xml:space="preserve">, though the method used in HBSC has some evidence of validity at group level and so is likely to be suitable for surveillance as noted </w:t>
      </w:r>
      <w:r w:rsidR="5843D4AF" w:rsidRPr="4395D074">
        <w:rPr>
          <w:rFonts w:ascii="Calibri" w:hAnsi="Calibri" w:cs="Calibri"/>
          <w:color w:val="000000" w:themeColor="text1"/>
        </w:rPr>
        <w:t xml:space="preserve">below and </w:t>
      </w:r>
      <w:r w:rsidR="11B0FCD4" w:rsidRPr="4395D074">
        <w:rPr>
          <w:rFonts w:ascii="Calibri" w:hAnsi="Calibri" w:cs="Calibri"/>
          <w:color w:val="000000" w:themeColor="text1"/>
        </w:rPr>
        <w:t>in previous report cards</w:t>
      </w:r>
      <w:r w:rsidRPr="4395D074">
        <w:rPr>
          <w:rFonts w:ascii="Calibri" w:hAnsi="Calibri" w:cs="Calibri"/>
          <w:color w:val="000000" w:themeColor="text1"/>
        </w:rPr>
        <w:t xml:space="preserve">. </w:t>
      </w:r>
    </w:p>
    <w:p w14:paraId="5C38E19D" w14:textId="4BA789C7" w:rsidR="00B379A5" w:rsidRPr="00B43480" w:rsidRDefault="00B43480" w:rsidP="00B379A5">
      <w:pPr>
        <w:autoSpaceDE w:val="0"/>
        <w:autoSpaceDN w:val="0"/>
        <w:adjustRightInd w:val="0"/>
        <w:spacing w:line="240" w:lineRule="auto"/>
      </w:pPr>
      <w:r w:rsidRPr="4395D074">
        <w:rPr>
          <w:b/>
          <w:bCs/>
        </w:rPr>
        <w:t>Major gaps in Scottish data</w:t>
      </w:r>
      <w:r>
        <w:t>: SHeS data for the under 5’s are still not reported relative to UK or international recommendations as noted in previous report cards</w:t>
      </w:r>
      <w:r w:rsidRPr="4395D074">
        <w:rPr>
          <w:b/>
          <w:bCs/>
        </w:rPr>
        <w:t xml:space="preserve">. </w:t>
      </w:r>
      <w:r w:rsidR="00F236A9">
        <w:t>I</w:t>
      </w:r>
      <w:r>
        <w:t>n primary school aged children; the SHeS could not be used for grading as it assumes that all reported activities were at least moderate intensity</w:t>
      </w:r>
      <w:r w:rsidR="00F236A9">
        <w:t xml:space="preserve"> </w:t>
      </w:r>
      <w:r w:rsidR="008106F8">
        <w:t xml:space="preserve">which is impossible </w:t>
      </w:r>
      <w:r w:rsidR="00F236A9">
        <w:t>(‘ no information on intensity of physical activity is collected’, SHeS 2019)</w:t>
      </w:r>
      <w:r>
        <w:t xml:space="preserve">, thus compliance levels reported in the 2015 and 2016 SHeS are substantially </w:t>
      </w:r>
      <w:r w:rsidR="00354051">
        <w:t>overestimated. S</w:t>
      </w:r>
      <w:r>
        <w:t>ee also Basterfield et al Arch Dis Child 2008; 93: 1054-1058</w:t>
      </w:r>
      <w:r w:rsidR="008106F8">
        <w:t>,</w:t>
      </w:r>
      <w:r>
        <w:t xml:space="preserve"> </w:t>
      </w:r>
      <w:r w:rsidR="00F236A9">
        <w:t>which found that in 6-8 ye</w:t>
      </w:r>
      <w:r w:rsidR="008106F8">
        <w:t>ar olds the SHe</w:t>
      </w:r>
      <w:r w:rsidR="00AC1512">
        <w:t>S</w:t>
      </w:r>
      <w:r w:rsidR="00F236A9">
        <w:t xml:space="preserve"> measure overestimates MVPA by an average of 2 hours per day</w:t>
      </w:r>
      <w:r w:rsidR="00354051">
        <w:t xml:space="preserve">: </w:t>
      </w:r>
      <w:r w:rsidR="00CD13A9">
        <w:t xml:space="preserve">Since </w:t>
      </w:r>
      <w:r w:rsidR="00354051">
        <w:t>SHES does not measure MVPA (see also Scottish</w:t>
      </w:r>
      <w:r>
        <w:t xml:space="preserve"> report cards in 2013 and 2016 </w:t>
      </w:r>
      <w:hyperlink r:id="rId18">
        <w:r w:rsidR="00354051" w:rsidRPr="4395D074">
          <w:rPr>
            <w:rStyle w:val="Hyperlink"/>
          </w:rPr>
          <w:t>www.activehealthykidsscotland.co.uk</w:t>
        </w:r>
      </w:hyperlink>
      <w:r>
        <w:t>)</w:t>
      </w:r>
      <w:r w:rsidR="00CD13A9">
        <w:t xml:space="preserve"> good surveillance data in Scotland are limited to adolescents as noted below</w:t>
      </w:r>
      <w:r>
        <w:t>.</w:t>
      </w:r>
      <w:r w:rsidR="00B379A5">
        <w:t xml:space="preserve"> </w:t>
      </w:r>
      <w:r w:rsidR="00CD13A9" w:rsidRPr="00CD13A9">
        <w:rPr>
          <w:bCs/>
        </w:rPr>
        <w:t>There is also a serious l</w:t>
      </w:r>
      <w:r w:rsidR="00B379A5" w:rsidRPr="00CD13A9">
        <w:rPr>
          <w:bCs/>
        </w:rPr>
        <w:t xml:space="preserve">ack of data for </w:t>
      </w:r>
      <w:r w:rsidR="00CD13A9" w:rsidRPr="00CD13A9">
        <w:rPr>
          <w:bCs/>
        </w:rPr>
        <w:t xml:space="preserve">older adolescents, </w:t>
      </w:r>
      <w:r w:rsidR="00B379A5" w:rsidRPr="00CD13A9">
        <w:rPr>
          <w:bCs/>
        </w:rPr>
        <w:t>16 to 18 year olds,</w:t>
      </w:r>
      <w:r w:rsidR="00B379A5">
        <w:t xml:space="preserve"> the PA guidelines </w:t>
      </w:r>
      <w:r w:rsidR="00CD13A9">
        <w:t xml:space="preserve">and AHKGA benchmark </w:t>
      </w:r>
      <w:r w:rsidR="00B379A5">
        <w:t xml:space="preserve">go up to age 18 but Scottish surveillance stops at age 15 in the HBSC and in the SHeS, adult PA guidelines are </w:t>
      </w:r>
      <w:r w:rsidR="00CD13A9">
        <w:t>–incorrectly-</w:t>
      </w:r>
      <w:r w:rsidR="00B379A5">
        <w:t xml:space="preserve">applied to 16-18 year olds. </w:t>
      </w:r>
    </w:p>
    <w:p w14:paraId="0D3423B9" w14:textId="77777777" w:rsidR="00354051" w:rsidRDefault="00354051" w:rsidP="00B43480">
      <w:pPr>
        <w:autoSpaceDE w:val="0"/>
        <w:autoSpaceDN w:val="0"/>
        <w:adjustRightInd w:val="0"/>
        <w:spacing w:line="240" w:lineRule="auto"/>
      </w:pPr>
    </w:p>
    <w:p w14:paraId="10E77182" w14:textId="48096B96" w:rsidR="00B379A5" w:rsidRPr="00534DFC" w:rsidRDefault="00B43480" w:rsidP="00B43480">
      <w:pPr>
        <w:autoSpaceDE w:val="0"/>
        <w:autoSpaceDN w:val="0"/>
        <w:adjustRightInd w:val="0"/>
        <w:spacing w:line="240" w:lineRule="auto"/>
      </w:pPr>
      <w:r>
        <w:t xml:space="preserve"> The HBSC does measure intensity and</w:t>
      </w:r>
      <w:r w:rsidR="00354051">
        <w:t xml:space="preserve"> </w:t>
      </w:r>
      <w:r>
        <w:t>has been validated</w:t>
      </w:r>
      <w:r w:rsidR="00354051">
        <w:t xml:space="preserve"> for adolescents, at least at the population surveillance level</w:t>
      </w:r>
      <w:r>
        <w:t xml:space="preserve"> (see longform report card from 2013 and more recent publication Hardie Murphy et al BMC Public Health 2015; 15: 1080</w:t>
      </w:r>
      <w:r w:rsidR="71703965">
        <w:t>)</w:t>
      </w:r>
      <w:r>
        <w:t xml:space="preserve"> thus providing more realistic estimates of compliance for 11 to 15 year olds that can be used for grading. </w:t>
      </w:r>
      <w:r w:rsidR="6BC8612B">
        <w:t>HBSC Scotland reports data on meeting</w:t>
      </w:r>
      <w:r w:rsidR="3B313E97">
        <w:t xml:space="preserve"> the MVPA guideline every day, while the Active Healthy Kids Global Alliance benchmark (and WHO guideline for school-age children and adolescents 2020) use an average of at least 60 minutes</w:t>
      </w:r>
      <w:r w:rsidR="3F5EA122">
        <w:t xml:space="preserve"> MVPA per day.</w:t>
      </w:r>
      <w:r w:rsidR="00CD13A9" w:rsidRPr="00CD13A9">
        <w:t xml:space="preserve"> </w:t>
      </w:r>
      <w:r w:rsidR="00CD13A9">
        <w:t xml:space="preserve">HBSC 2018 (data collected in 2017-2018) found that the % of 11, 13, and 15 year olds reporting that they did not meet the 60 minutes per day MVPA </w:t>
      </w:r>
      <w:r w:rsidR="00CD13A9" w:rsidRPr="2FD3DE34">
        <w:rPr>
          <w:i/>
          <w:iCs/>
        </w:rPr>
        <w:t>every day</w:t>
      </w:r>
      <w:r w:rsidR="00CD13A9">
        <w:t xml:space="preserve"> was as follows: </w:t>
      </w:r>
      <w:r w:rsidR="00B379A5">
        <w:t>20% for the 11 year olds, 18% for the 13 year o</w:t>
      </w:r>
      <w:r w:rsidR="000D7572">
        <w:t xml:space="preserve">lds; 13% for the 15 year olds. </w:t>
      </w:r>
      <w:r w:rsidR="00CD13A9">
        <w:t>The HBS</w:t>
      </w:r>
      <w:r w:rsidR="00CB7B0F">
        <w:t>C measures relative to the pre-2020</w:t>
      </w:r>
      <w:r w:rsidR="00CD13A9">
        <w:t xml:space="preserve"> WHO MVPA guideline for school-age children and</w:t>
      </w:r>
      <w:r w:rsidR="00534DFC">
        <w:t xml:space="preserve"> adolescents which is not ideal.</w:t>
      </w:r>
      <w:r w:rsidR="00B379A5" w:rsidRPr="2FD3DE34">
        <w:rPr>
          <w:b/>
          <w:bCs/>
        </w:rPr>
        <w:t>There was a suggestion of some inequality</w:t>
      </w:r>
      <w:r w:rsidR="000D7572">
        <w:rPr>
          <w:b/>
          <w:bCs/>
        </w:rPr>
        <w:t xml:space="preserve"> in HBSC</w:t>
      </w:r>
      <w:r w:rsidR="00B379A5" w:rsidRPr="2FD3DE34">
        <w:rPr>
          <w:b/>
          <w:bCs/>
        </w:rPr>
        <w:t xml:space="preserve">, </w:t>
      </w:r>
      <w:r w:rsidR="00B379A5">
        <w:t xml:space="preserve">with slightly higher prevalence not meeting guideline in those in the lowest family affluence scale, but this is inconsistent with substantial evidence from many large </w:t>
      </w:r>
      <w:r w:rsidR="00B379A5" w:rsidRPr="2FD3DE34">
        <w:rPr>
          <w:rFonts w:ascii="Calibri" w:hAnsi="Calibri" w:cs="Calibri"/>
          <w:color w:val="000000" w:themeColor="text1"/>
        </w:rPr>
        <w:t xml:space="preserve">UK </w:t>
      </w:r>
      <w:r w:rsidR="000D7572">
        <w:rPr>
          <w:rFonts w:ascii="Calibri" w:hAnsi="Calibri" w:cs="Calibri"/>
          <w:color w:val="000000" w:themeColor="text1"/>
        </w:rPr>
        <w:t xml:space="preserve">and Scottish </w:t>
      </w:r>
      <w:r w:rsidR="00B379A5" w:rsidRPr="2FD3DE34">
        <w:rPr>
          <w:rFonts w:ascii="Calibri" w:hAnsi="Calibri" w:cs="Calibri"/>
          <w:color w:val="000000" w:themeColor="text1"/>
        </w:rPr>
        <w:t xml:space="preserve">studies which have used accelerometry to measure MVPA more accurately (they </w:t>
      </w:r>
      <w:r w:rsidR="000D7572">
        <w:rPr>
          <w:rFonts w:ascii="Calibri" w:hAnsi="Calibri" w:cs="Calibri"/>
          <w:color w:val="000000" w:themeColor="text1"/>
        </w:rPr>
        <w:t xml:space="preserve">consistently </w:t>
      </w:r>
      <w:r w:rsidR="00B379A5" w:rsidRPr="2FD3DE34">
        <w:rPr>
          <w:rFonts w:ascii="Calibri" w:hAnsi="Calibri" w:cs="Calibri"/>
          <w:color w:val="000000" w:themeColor="text1"/>
        </w:rPr>
        <w:t>do not find socio-economic inequalities in MVPA).</w:t>
      </w:r>
      <w:r w:rsidR="00AC1512" w:rsidRPr="2FD3DE34">
        <w:rPr>
          <w:rFonts w:ascii="Calibri" w:hAnsi="Calibri" w:cs="Calibri"/>
          <w:color w:val="000000" w:themeColor="text1"/>
        </w:rPr>
        <w:t xml:space="preserve"> </w:t>
      </w:r>
      <w:r w:rsidR="1B2C59B4" w:rsidRPr="2FD3DE34">
        <w:rPr>
          <w:rFonts w:ascii="Calibri" w:hAnsi="Calibri" w:cs="Calibri"/>
          <w:color w:val="000000" w:themeColor="text1"/>
        </w:rPr>
        <w:t xml:space="preserve">Girls are also </w:t>
      </w:r>
      <w:r w:rsidR="790FF15F" w:rsidRPr="2FD3DE34">
        <w:rPr>
          <w:rFonts w:ascii="Calibri" w:hAnsi="Calibri" w:cs="Calibri"/>
          <w:color w:val="000000" w:themeColor="text1"/>
        </w:rPr>
        <w:t>slightly</w:t>
      </w:r>
      <w:r w:rsidR="1B2C59B4" w:rsidRPr="2FD3DE34">
        <w:rPr>
          <w:rFonts w:ascii="Calibri" w:hAnsi="Calibri" w:cs="Calibri"/>
          <w:color w:val="000000" w:themeColor="text1"/>
        </w:rPr>
        <w:t xml:space="preserve"> less likely to meet the guideline than boys at all ages. </w:t>
      </w:r>
      <w:r w:rsidR="00CF1BEB" w:rsidRPr="2FD3DE34">
        <w:rPr>
          <w:rFonts w:ascii="Calibri" w:hAnsi="Calibri" w:cs="Calibri"/>
          <w:b/>
          <w:bCs/>
          <w:color w:val="000000" w:themeColor="text1"/>
        </w:rPr>
        <w:t xml:space="preserve">Inequality= </w:t>
      </w:r>
      <w:r w:rsidR="00CB7B0F" w:rsidRPr="2FD3DE34">
        <w:rPr>
          <w:rFonts w:ascii="Calibri" w:hAnsi="Calibri" w:cs="Calibri"/>
          <w:b/>
          <w:bCs/>
          <w:color w:val="000000" w:themeColor="text1"/>
        </w:rPr>
        <w:t>incomplete for socio-economic status, but a small inequality between boys and girls.</w:t>
      </w:r>
    </w:p>
    <w:p w14:paraId="6BDB1A99" w14:textId="6B9885C8" w:rsidR="2FD3DE34" w:rsidRPr="00534DFC" w:rsidRDefault="00CB7B0F" w:rsidP="00534DFC">
      <w:pPr>
        <w:autoSpaceDE w:val="0"/>
        <w:autoSpaceDN w:val="0"/>
        <w:adjustRightInd w:val="0"/>
        <w:spacing w:line="240" w:lineRule="auto"/>
        <w:rPr>
          <w:rFonts w:ascii="Calibri" w:hAnsi="Calibri" w:cs="Calibri"/>
          <w:b/>
          <w:bCs/>
          <w:color w:val="000000" w:themeColor="text1"/>
        </w:rPr>
      </w:pPr>
      <w:r>
        <w:rPr>
          <w:rFonts w:ascii="Calibri" w:hAnsi="Calibri" w:cs="Calibri"/>
          <w:b/>
          <w:bCs/>
          <w:color w:val="000000" w:themeColor="text1"/>
        </w:rPr>
        <w:t>Draft grade= F, as in previous report cards, but multiple major gaps in s</w:t>
      </w:r>
      <w:r w:rsidR="00534DFC">
        <w:rPr>
          <w:rFonts w:ascii="Calibri" w:hAnsi="Calibri" w:cs="Calibri"/>
          <w:b/>
          <w:bCs/>
          <w:color w:val="000000" w:themeColor="text1"/>
        </w:rPr>
        <w:t>urveillance of MVPA in Scotland</w:t>
      </w:r>
    </w:p>
    <w:p w14:paraId="7A453B69" w14:textId="7A437E56" w:rsidR="2FD3DE34" w:rsidRDefault="008A7963" w:rsidP="000D7572">
      <w:pPr>
        <w:rPr>
          <w:rFonts w:ascii="Calibri" w:hAnsi="Calibri" w:cs="Calibri"/>
          <w:color w:val="000000" w:themeColor="text1"/>
        </w:rPr>
      </w:pPr>
      <w:r>
        <w:rPr>
          <w:rFonts w:ascii="Calibri" w:hAnsi="Calibri" w:cs="Calibri"/>
          <w:color w:val="000000" w:themeColor="text1"/>
        </w:rPr>
        <w:br w:type="page"/>
      </w:r>
    </w:p>
    <w:p w14:paraId="34911631" w14:textId="3378BC46" w:rsidR="00E00E7F" w:rsidRPr="00E00E7F" w:rsidRDefault="00E00E7F" w:rsidP="00180B47">
      <w:pPr>
        <w:pStyle w:val="Heading1"/>
      </w:pPr>
      <w:bookmarkStart w:id="7" w:name="_Toc530040875"/>
      <w:bookmarkStart w:id="8" w:name="_Toc530040893"/>
      <w:bookmarkStart w:id="9" w:name="_Toc68789655"/>
      <w:r w:rsidRPr="00E00E7F">
        <w:t>Indicator 3: Organised Sport and Physical Activity</w:t>
      </w:r>
      <w:bookmarkEnd w:id="7"/>
      <w:bookmarkEnd w:id="8"/>
      <w:bookmarkEnd w:id="9"/>
    </w:p>
    <w:p w14:paraId="3D0D1C02" w14:textId="77777777" w:rsidR="00E00E7F" w:rsidRPr="00E00E7F" w:rsidRDefault="00E00E7F" w:rsidP="00E00E7F">
      <w:pPr>
        <w:spacing w:line="240" w:lineRule="auto"/>
        <w:rPr>
          <w:rFonts w:cstheme="minorHAnsi"/>
          <w:i/>
          <w:u w:val="single"/>
        </w:rPr>
      </w:pPr>
      <w:r w:rsidRPr="00E00E7F">
        <w:rPr>
          <w:rFonts w:cstheme="minorHAnsi"/>
          <w:b/>
        </w:rPr>
        <w:t xml:space="preserve">Benchmark: </w:t>
      </w:r>
      <w:r w:rsidRPr="00E00E7F">
        <w:rPr>
          <w:rFonts w:cs="TT27o00"/>
        </w:rPr>
        <w:t>% of children and youth who participate in organized sport and/or physical activity programmes</w:t>
      </w:r>
      <w:r w:rsidRPr="00E00E7F">
        <w:rPr>
          <w:rFonts w:cstheme="minorHAnsi"/>
          <w:b/>
        </w:rPr>
        <w:t xml:space="preserve">. </w:t>
      </w:r>
      <w:r w:rsidRPr="00E00E7F">
        <w:rPr>
          <w:rFonts w:cstheme="minorHAnsi"/>
          <w:i/>
        </w:rPr>
        <w:t xml:space="preserve">Note: the benchmark includes sport AND exercise/physical activities, so this indicator is not solely sport and the key word is </w:t>
      </w:r>
      <w:r w:rsidRPr="00E00E7F">
        <w:rPr>
          <w:rFonts w:cstheme="minorHAnsi"/>
          <w:i/>
          <w:u w:val="single"/>
        </w:rPr>
        <w:t xml:space="preserve">‘organised’ (i.e. the indicator is organised sport and physical activity). </w:t>
      </w:r>
      <w:r w:rsidRPr="00E00E7F">
        <w:t>There is no recommendation for the frequency/duration of organised sport and physical activity participation.</w:t>
      </w:r>
    </w:p>
    <w:p w14:paraId="3AF85A22" w14:textId="77777777" w:rsidR="00E00E7F" w:rsidRPr="00E00E7F" w:rsidRDefault="00E00E7F" w:rsidP="00E00E7F">
      <w:pPr>
        <w:autoSpaceDE w:val="0"/>
        <w:autoSpaceDN w:val="0"/>
        <w:adjustRightInd w:val="0"/>
        <w:spacing w:line="240" w:lineRule="auto"/>
        <w:rPr>
          <w:rFonts w:ascii="Calibri" w:hAnsi="Calibri" w:cs="Calibri"/>
          <w:color w:val="000000"/>
        </w:rPr>
      </w:pPr>
      <w:r w:rsidRPr="00E00E7F">
        <w:rPr>
          <w:rFonts w:ascii="Calibri" w:hAnsi="Calibri" w:cs="Calibri"/>
          <w:b/>
          <w:bCs/>
          <w:color w:val="000000"/>
        </w:rPr>
        <w:t xml:space="preserve">Summary of methods of measurement: </w:t>
      </w:r>
      <w:r w:rsidRPr="00E00E7F">
        <w:rPr>
          <w:rFonts w:ascii="Calibri" w:hAnsi="Calibri" w:cs="Calibri"/>
          <w:color w:val="000000"/>
        </w:rPr>
        <w:t xml:space="preserve">All data sources used self/parent report. </w:t>
      </w:r>
    </w:p>
    <w:p w14:paraId="64A6A949" w14:textId="7F69B08E" w:rsidR="00695531" w:rsidRDefault="00E00E7F" w:rsidP="3F7008BC">
      <w:pPr>
        <w:autoSpaceDE w:val="0"/>
        <w:autoSpaceDN w:val="0"/>
        <w:adjustRightInd w:val="0"/>
        <w:spacing w:line="240" w:lineRule="auto"/>
        <w:rPr>
          <w:rFonts w:ascii="Calibri" w:hAnsi="Calibri" w:cs="Calibri"/>
          <w:color w:val="000000"/>
        </w:rPr>
      </w:pPr>
      <w:r w:rsidRPr="3F7008BC">
        <w:rPr>
          <w:rFonts w:ascii="Calibri" w:hAnsi="Calibri" w:cs="Calibri"/>
          <w:b/>
          <w:bCs/>
          <w:color w:val="000000" w:themeColor="text1"/>
        </w:rPr>
        <w:t xml:space="preserve">Major gaps in Scottish data: </w:t>
      </w:r>
      <w:r w:rsidRPr="3F7008BC">
        <w:rPr>
          <w:rFonts w:ascii="Calibri" w:hAnsi="Calibri" w:cs="Calibri"/>
          <w:color w:val="000000" w:themeColor="text1"/>
        </w:rPr>
        <w:t>Only one source (Scottish Health Survey 2019, published in 2020, reported participation in the week prior to the survey) measured participation in organised sport &amp; PA (in 2-15 year olds) according to the benchmark and the prevalence estimate from this data source does not include participation in organised sport &amp; PA within school lessons</w:t>
      </w:r>
      <w:r w:rsidRPr="3F7008BC">
        <w:rPr>
          <w:rFonts w:ascii="Calibri" w:hAnsi="Calibri" w:cs="Calibri"/>
          <w:b/>
          <w:bCs/>
          <w:color w:val="000000" w:themeColor="text1"/>
        </w:rPr>
        <w:t xml:space="preserve">. Lack of data for 16 to 18 year olds., though participation showed an age-related decline to age 15 years in SHeS data so participation prevalence </w:t>
      </w:r>
      <w:r w:rsidR="00EA3EDA">
        <w:rPr>
          <w:rFonts w:ascii="Calibri" w:hAnsi="Calibri" w:cs="Calibri"/>
          <w:b/>
          <w:bCs/>
          <w:color w:val="000000" w:themeColor="text1"/>
        </w:rPr>
        <w:t xml:space="preserve">across the child-adolescent age range </w:t>
      </w:r>
      <w:r w:rsidR="0BDC97D1" w:rsidRPr="3F7008BC">
        <w:rPr>
          <w:rFonts w:ascii="Calibri" w:hAnsi="Calibri" w:cs="Calibri"/>
          <w:b/>
          <w:bCs/>
          <w:color w:val="000000" w:themeColor="text1"/>
        </w:rPr>
        <w:t>will be</w:t>
      </w:r>
      <w:r w:rsidRPr="3F7008BC">
        <w:rPr>
          <w:rFonts w:ascii="Calibri" w:hAnsi="Calibri" w:cs="Calibri"/>
          <w:b/>
          <w:bCs/>
          <w:color w:val="000000" w:themeColor="text1"/>
        </w:rPr>
        <w:t xml:space="preserve"> lower than the 66% in SHeS</w:t>
      </w:r>
      <w:r w:rsidRPr="3F7008BC">
        <w:rPr>
          <w:rFonts w:ascii="Calibri" w:hAnsi="Calibri" w:cs="Calibri"/>
          <w:color w:val="000000" w:themeColor="text1"/>
        </w:rPr>
        <w:t xml:space="preserve"> </w:t>
      </w:r>
      <w:r w:rsidRPr="3F7008BC">
        <w:rPr>
          <w:rFonts w:ascii="Calibri" w:hAnsi="Calibri" w:cs="Calibri"/>
          <w:b/>
          <w:bCs/>
          <w:color w:val="000000" w:themeColor="text1"/>
        </w:rPr>
        <w:t>.</w:t>
      </w:r>
      <w:r w:rsidRPr="3F7008BC">
        <w:rPr>
          <w:rFonts w:ascii="Calibri" w:hAnsi="Calibri" w:cs="Calibri"/>
          <w:color w:val="000000" w:themeColor="text1"/>
        </w:rPr>
        <w:t xml:space="preserve"> </w:t>
      </w:r>
    </w:p>
    <w:p w14:paraId="68B934AD" w14:textId="3197AD0A" w:rsidR="00695531" w:rsidRPr="00695531" w:rsidRDefault="00695531" w:rsidP="778F92D9">
      <w:pPr>
        <w:autoSpaceDE w:val="0"/>
        <w:autoSpaceDN w:val="0"/>
        <w:adjustRightInd w:val="0"/>
        <w:spacing w:line="240" w:lineRule="auto"/>
        <w:rPr>
          <w:rFonts w:ascii="Calibri" w:hAnsi="Calibri" w:cs="Calibri"/>
          <w:color w:val="000000"/>
        </w:rPr>
      </w:pPr>
      <w:r w:rsidRPr="778F92D9">
        <w:rPr>
          <w:rFonts w:ascii="Calibri" w:hAnsi="Calibri" w:cs="Calibri"/>
          <w:b/>
          <w:bCs/>
          <w:color w:val="000000" w:themeColor="text1"/>
        </w:rPr>
        <w:t xml:space="preserve">Inequalities </w:t>
      </w:r>
      <w:r w:rsidRPr="778F92D9">
        <w:rPr>
          <w:rFonts w:ascii="Calibri" w:hAnsi="Calibri" w:cs="Calibri"/>
          <w:color w:val="000000" w:themeColor="text1"/>
        </w:rPr>
        <w:t>were evident in the SHeS data (Table 315)-participation lower in children and adolescents from lower SIMD, in both sexes</w:t>
      </w:r>
      <w:r w:rsidR="3B6E9270" w:rsidRPr="778F92D9">
        <w:rPr>
          <w:rFonts w:ascii="Calibri" w:hAnsi="Calibri" w:cs="Calibri"/>
          <w:color w:val="000000" w:themeColor="text1"/>
        </w:rPr>
        <w:t>; participation declines with age; no significant differences in participation between the sexes.</w:t>
      </w:r>
    </w:p>
    <w:p w14:paraId="2426C4EA" w14:textId="77777777" w:rsidR="00E00E7F" w:rsidRDefault="00E00E7F" w:rsidP="00E00E7F">
      <w:pPr>
        <w:autoSpaceDE w:val="0"/>
        <w:autoSpaceDN w:val="0"/>
        <w:adjustRightInd w:val="0"/>
        <w:spacing w:line="240" w:lineRule="auto"/>
        <w:rPr>
          <w:rFonts w:ascii="Calibri" w:hAnsi="Calibri" w:cs="Calibri"/>
          <w:bCs/>
          <w:color w:val="000000"/>
        </w:rPr>
      </w:pPr>
    </w:p>
    <w:p w14:paraId="7E5D0658" w14:textId="260BA878" w:rsidR="00695531" w:rsidRDefault="6C0E4AE6" w:rsidP="778F92D9">
      <w:pPr>
        <w:autoSpaceDE w:val="0"/>
        <w:autoSpaceDN w:val="0"/>
        <w:adjustRightInd w:val="0"/>
        <w:spacing w:line="240" w:lineRule="auto"/>
        <w:rPr>
          <w:rFonts w:ascii="Calibri" w:hAnsi="Calibri" w:cs="Calibri"/>
          <w:b/>
          <w:bCs/>
          <w:color w:val="000000"/>
        </w:rPr>
      </w:pPr>
      <w:r w:rsidRPr="778F92D9">
        <w:rPr>
          <w:rFonts w:ascii="Calibri" w:hAnsi="Calibri" w:cs="Calibri"/>
          <w:b/>
          <w:bCs/>
          <w:color w:val="000000" w:themeColor="text1"/>
        </w:rPr>
        <w:t>INDICATOR 3 PARTICIPATION IN ORGANISED SPORT AND PHYSICAL ACTIVITY GRADING SUMMARY</w:t>
      </w:r>
    </w:p>
    <w:p w14:paraId="51C946CB" w14:textId="48E3C877" w:rsidR="00695531" w:rsidRDefault="4150F6B2" w:rsidP="778F92D9">
      <w:pPr>
        <w:autoSpaceDE w:val="0"/>
        <w:autoSpaceDN w:val="0"/>
        <w:adjustRightInd w:val="0"/>
        <w:spacing w:line="240" w:lineRule="auto"/>
        <w:rPr>
          <w:rFonts w:ascii="Calibri" w:hAnsi="Calibri" w:cs="Calibri"/>
          <w:color w:val="000000"/>
        </w:rPr>
      </w:pPr>
      <w:r w:rsidRPr="3F7008BC">
        <w:rPr>
          <w:rFonts w:ascii="Calibri" w:hAnsi="Calibri" w:cs="Calibri"/>
          <w:color w:val="000000" w:themeColor="text1"/>
        </w:rPr>
        <w:t xml:space="preserve">Participation will </w:t>
      </w:r>
      <w:r w:rsidR="48DB1089" w:rsidRPr="3F7008BC">
        <w:rPr>
          <w:rFonts w:ascii="Calibri" w:hAnsi="Calibri" w:cs="Calibri"/>
          <w:color w:val="000000" w:themeColor="text1"/>
        </w:rPr>
        <w:t xml:space="preserve">be lower in 16-18 year olds not covered by surveillance so overall child and adolescent participation &lt;66%. </w:t>
      </w:r>
      <w:r w:rsidR="63C7AC61" w:rsidRPr="3F7008BC">
        <w:rPr>
          <w:rFonts w:ascii="Calibri" w:hAnsi="Calibri" w:cs="Calibri"/>
          <w:color w:val="000000" w:themeColor="text1"/>
        </w:rPr>
        <w:t>B-</w:t>
      </w:r>
      <w:r w:rsidR="7728F6D6" w:rsidRPr="3F7008BC">
        <w:rPr>
          <w:rFonts w:ascii="Calibri" w:hAnsi="Calibri" w:cs="Calibri"/>
          <w:color w:val="000000" w:themeColor="text1"/>
        </w:rPr>
        <w:t xml:space="preserve"> (60-66%)</w:t>
      </w:r>
      <w:r w:rsidR="63C7AC61" w:rsidRPr="3F7008BC">
        <w:rPr>
          <w:rFonts w:ascii="Calibri" w:hAnsi="Calibri" w:cs="Calibri"/>
          <w:color w:val="000000" w:themeColor="text1"/>
        </w:rPr>
        <w:t>.</w:t>
      </w:r>
    </w:p>
    <w:p w14:paraId="416AAE4C" w14:textId="53C2AE1B" w:rsidR="00695531" w:rsidRDefault="008A7963" w:rsidP="008A7963">
      <w:pPr>
        <w:rPr>
          <w:rFonts w:ascii="Calibri" w:hAnsi="Calibri" w:cs="Calibri"/>
          <w:bCs/>
          <w:color w:val="000000"/>
        </w:rPr>
      </w:pPr>
      <w:r>
        <w:rPr>
          <w:rFonts w:ascii="Calibri" w:hAnsi="Calibri" w:cs="Calibri"/>
          <w:bCs/>
          <w:color w:val="000000"/>
        </w:rPr>
        <w:br w:type="page"/>
      </w:r>
    </w:p>
    <w:p w14:paraId="44117B9F" w14:textId="4231C320" w:rsidR="00F7712B" w:rsidRDefault="00F7712B" w:rsidP="00180B47">
      <w:pPr>
        <w:pStyle w:val="Heading1"/>
      </w:pPr>
      <w:bookmarkStart w:id="10" w:name="_Toc68789656"/>
      <w:bookmarkStart w:id="11" w:name="_Toc530040881"/>
      <w:bookmarkStart w:id="12" w:name="_Toc530040899"/>
      <w:r>
        <w:t>Indicator 4: Active Play</w:t>
      </w:r>
      <w:bookmarkEnd w:id="10"/>
    </w:p>
    <w:p w14:paraId="1C651B74" w14:textId="77777777" w:rsidR="00F7712B" w:rsidRDefault="00F7712B" w:rsidP="00F7712B">
      <w:pPr>
        <w:spacing w:after="0" w:line="240" w:lineRule="auto"/>
      </w:pPr>
      <w:r w:rsidRPr="005C5ADA">
        <w:rPr>
          <w:b/>
          <w:bCs/>
        </w:rPr>
        <w:t>Benchmark</w:t>
      </w:r>
      <w:r>
        <w:rPr>
          <w:b/>
          <w:bCs/>
        </w:rPr>
        <w:t xml:space="preserve"> (</w:t>
      </w:r>
      <w:r w:rsidRPr="00BE6CFE">
        <w:rPr>
          <w:b/>
        </w:rPr>
        <w:t>any of the following could be used to grade this indicator</w:t>
      </w:r>
      <w:r>
        <w:rPr>
          <w:b/>
          <w:u w:val="single"/>
        </w:rPr>
        <w:t>)</w:t>
      </w:r>
      <w:r w:rsidRPr="005C5ADA">
        <w:rPr>
          <w:b/>
          <w:bCs/>
        </w:rPr>
        <w:t xml:space="preserve">: </w:t>
      </w:r>
      <w:r w:rsidRPr="005C5ADA">
        <w:t>% of children and youth who engage in unstructured/unorganized active play at any intensity for more than 2</w:t>
      </w:r>
      <w:r>
        <w:t xml:space="preserve"> </w:t>
      </w:r>
      <w:r w:rsidRPr="005C5ADA">
        <w:t>hours a day</w:t>
      </w:r>
      <w:r>
        <w:t xml:space="preserve">, </w:t>
      </w:r>
      <w:r w:rsidRPr="005C5ADA">
        <w:t>% of children and youth who report being outdoors for more than 2 hours a day</w:t>
      </w:r>
    </w:p>
    <w:p w14:paraId="6DDAE2BE" w14:textId="77777777" w:rsidR="00F7712B" w:rsidRDefault="00F7712B" w:rsidP="00F7712B">
      <w:pPr>
        <w:spacing w:after="0" w:line="240" w:lineRule="auto"/>
      </w:pPr>
    </w:p>
    <w:p w14:paraId="0139764F" w14:textId="77777777" w:rsidR="00F7712B" w:rsidRDefault="00F7712B" w:rsidP="00F7712B">
      <w:pPr>
        <w:spacing w:after="0" w:line="240" w:lineRule="auto"/>
      </w:pPr>
      <w:r w:rsidRPr="005C5ADA">
        <w:rPr>
          <w:b/>
          <w:bCs/>
        </w:rPr>
        <w:t xml:space="preserve">Summary of methods of measurement: </w:t>
      </w:r>
      <w:r w:rsidRPr="005C5ADA">
        <w:t xml:space="preserve">This indicator refers to participation in unstructured/unorganized </w:t>
      </w:r>
      <w:r>
        <w:t>physical activity/</w:t>
      </w:r>
      <w:r w:rsidRPr="005C5ADA">
        <w:t>active play</w:t>
      </w:r>
      <w:r>
        <w:t xml:space="preserve"> and time spent outdoors. </w:t>
      </w:r>
      <w:r w:rsidRPr="005C5ADA">
        <w:t xml:space="preserve">Perceived safety, access to, and availability of outdoor/indoor spaces and opportunities for PA are dealt </w:t>
      </w:r>
      <w:r w:rsidRPr="001827F5">
        <w:t>with in indicator 7</w:t>
      </w:r>
      <w:r w:rsidRPr="005C5ADA">
        <w:t>.</w:t>
      </w:r>
      <w:r>
        <w:t xml:space="preserve"> </w:t>
      </w:r>
      <w:r w:rsidRPr="005C5ADA">
        <w:t xml:space="preserve">All sources of data use self/parent report measures. </w:t>
      </w:r>
    </w:p>
    <w:p w14:paraId="147C5BBD" w14:textId="77777777" w:rsidR="00F7712B" w:rsidRPr="005C5ADA" w:rsidRDefault="00F7712B" w:rsidP="00F7712B">
      <w:pPr>
        <w:spacing w:after="0" w:line="240" w:lineRule="auto"/>
      </w:pPr>
    </w:p>
    <w:p w14:paraId="63FB72DB" w14:textId="0E8CE438" w:rsidR="00534DFC" w:rsidRDefault="00F7712B" w:rsidP="00105DD8">
      <w:pPr>
        <w:pStyle w:val="Default"/>
        <w:rPr>
          <w:bCs/>
          <w:color w:val="auto"/>
          <w:sz w:val="22"/>
          <w:szCs w:val="22"/>
        </w:rPr>
      </w:pPr>
      <w:r w:rsidRPr="005C5ADA">
        <w:rPr>
          <w:b/>
          <w:bCs/>
          <w:sz w:val="22"/>
          <w:szCs w:val="22"/>
        </w:rPr>
        <w:t xml:space="preserve">Major Gaps in Scottish data: </w:t>
      </w:r>
      <w:r>
        <w:rPr>
          <w:bCs/>
          <w:color w:val="auto"/>
          <w:sz w:val="22"/>
          <w:szCs w:val="22"/>
        </w:rPr>
        <w:t>Currently no national survey provides evidence of how much tim</w:t>
      </w:r>
      <w:r w:rsidR="000D7572">
        <w:rPr>
          <w:bCs/>
          <w:color w:val="auto"/>
          <w:sz w:val="22"/>
          <w:szCs w:val="22"/>
        </w:rPr>
        <w:t xml:space="preserve">e children are spending </w:t>
      </w:r>
      <w:r>
        <w:rPr>
          <w:bCs/>
          <w:color w:val="auto"/>
          <w:sz w:val="22"/>
          <w:szCs w:val="22"/>
        </w:rPr>
        <w:t xml:space="preserve"> in active play for more than 2 hours per day. In the last report card, data from the 2016 Scottish Health Survey was reported in 15-minute blocks which meant the data could be re-analysed to the benchmark. The Scottish Health Survey has changed their data collection for this indicator to number of days the child engages in active play meaning that the data cannot be re-analysed this time.</w:t>
      </w:r>
      <w:r w:rsidR="00AB7BF1">
        <w:rPr>
          <w:bCs/>
          <w:color w:val="auto"/>
          <w:sz w:val="22"/>
          <w:szCs w:val="22"/>
        </w:rPr>
        <w:t xml:space="preserve"> </w:t>
      </w:r>
    </w:p>
    <w:p w14:paraId="01D82D7E" w14:textId="3255F038" w:rsidR="00F7712B" w:rsidRPr="00534DFC" w:rsidRDefault="00534DFC" w:rsidP="00105DD8">
      <w:pPr>
        <w:pStyle w:val="Default"/>
        <w:rPr>
          <w:bCs/>
          <w:color w:val="auto"/>
          <w:sz w:val="22"/>
          <w:szCs w:val="22"/>
        </w:rPr>
      </w:pPr>
      <w:r>
        <w:rPr>
          <w:bCs/>
          <w:color w:val="auto"/>
          <w:sz w:val="22"/>
          <w:szCs w:val="22"/>
        </w:rPr>
        <w:t xml:space="preserve">The recently published “British Children’s Play Survey” does meet the benchmark and provides an informative summary of active and outdoor play levels at a </w:t>
      </w:r>
      <w:r w:rsidRPr="00BD59AE">
        <w:rPr>
          <w:b/>
          <w:color w:val="auto"/>
          <w:sz w:val="22"/>
          <w:szCs w:val="22"/>
        </w:rPr>
        <w:t xml:space="preserve">UK </w:t>
      </w:r>
      <w:r>
        <w:rPr>
          <w:bCs/>
          <w:color w:val="auto"/>
          <w:sz w:val="22"/>
          <w:szCs w:val="22"/>
        </w:rPr>
        <w:t xml:space="preserve">level, but given the small sample of Scottish children included in the survey it could not be used for grading. , The evidence base for active play thus far has used self/parent reports measurements and self-report measurements often overestimate true levels of active play (as with other indicators such as physical activity).  </w:t>
      </w:r>
      <w:r>
        <w:rPr>
          <w:sz w:val="22"/>
          <w:szCs w:val="22"/>
        </w:rPr>
        <w:t xml:space="preserve">The </w:t>
      </w:r>
      <w:r>
        <w:rPr>
          <w:bCs/>
          <w:color w:val="auto"/>
          <w:sz w:val="22"/>
          <w:szCs w:val="22"/>
        </w:rPr>
        <w:t xml:space="preserve">  addition of objective measures of active play, albeit more expensive,  would improve the evidence base significantly and enable us </w:t>
      </w:r>
      <w:r w:rsidR="000D7572">
        <w:rPr>
          <w:bCs/>
          <w:color w:val="auto"/>
          <w:sz w:val="22"/>
          <w:szCs w:val="22"/>
        </w:rPr>
        <w:t>to understand</w:t>
      </w:r>
      <w:r>
        <w:rPr>
          <w:bCs/>
          <w:color w:val="auto"/>
          <w:sz w:val="22"/>
          <w:szCs w:val="22"/>
        </w:rPr>
        <w:t xml:space="preserve"> how much time Scottish children spend in active play.</w:t>
      </w:r>
    </w:p>
    <w:p w14:paraId="5D55F2DB" w14:textId="77777777" w:rsidR="00F7712B" w:rsidRPr="00CB72AB" w:rsidRDefault="00F7712B" w:rsidP="00F7712B">
      <w:pPr>
        <w:pStyle w:val="Default"/>
        <w:rPr>
          <w:color w:val="auto"/>
          <w:sz w:val="22"/>
          <w:szCs w:val="22"/>
        </w:rPr>
      </w:pPr>
    </w:p>
    <w:p w14:paraId="3ECE13CD" w14:textId="7A99BF93" w:rsidR="00EA3EDA" w:rsidRPr="00EA3EDA" w:rsidRDefault="00F7712B" w:rsidP="78D580A8">
      <w:pPr>
        <w:spacing w:line="240" w:lineRule="auto"/>
        <w:rPr>
          <w:b/>
          <w:bCs/>
        </w:rPr>
      </w:pPr>
      <w:r w:rsidRPr="00EA3EDA">
        <w:rPr>
          <w:b/>
          <w:bCs/>
        </w:rPr>
        <w:t xml:space="preserve">Grade: </w:t>
      </w:r>
      <w:r w:rsidR="00EA3EDA">
        <w:rPr>
          <w:b/>
          <w:bCs/>
        </w:rPr>
        <w:t>Given the lack of suitable evidence the grade from the 2018 report card will be carried forward to the 2020 report card.</w:t>
      </w:r>
    </w:p>
    <w:p w14:paraId="4552A6F8" w14:textId="64042BE8" w:rsidR="00F7712B" w:rsidRPr="008A7963" w:rsidRDefault="00EA3EDA" w:rsidP="78D580A8">
      <w:pPr>
        <w:spacing w:line="240" w:lineRule="auto"/>
        <w:rPr>
          <w:b/>
          <w:bCs/>
          <w:i/>
          <w:sz w:val="24"/>
          <w:szCs w:val="24"/>
          <w:u w:val="single"/>
        </w:rPr>
      </w:pPr>
      <w:r w:rsidRPr="008A7963">
        <w:rPr>
          <w:b/>
          <w:bCs/>
          <w:i/>
        </w:rPr>
        <w:t>For further information on the available data in Scotland see Table 1.</w:t>
      </w:r>
    </w:p>
    <w:p w14:paraId="491C8654" w14:textId="1E52240A" w:rsidR="00C872B2" w:rsidRPr="00CB72AB" w:rsidRDefault="00F7712B" w:rsidP="009D6157">
      <w:pPr>
        <w:pStyle w:val="Default"/>
        <w:rPr>
          <w:sz w:val="22"/>
          <w:szCs w:val="22"/>
        </w:rPr>
      </w:pPr>
      <w:r>
        <w:rPr>
          <w:b/>
          <w:bCs/>
          <w:sz w:val="22"/>
          <w:szCs w:val="22"/>
        </w:rPr>
        <w:t xml:space="preserve">Inequalities: </w:t>
      </w:r>
      <w:r>
        <w:rPr>
          <w:sz w:val="22"/>
          <w:szCs w:val="22"/>
        </w:rPr>
        <w:t xml:space="preserve">The previous report card noted gender inequalities in engagement in active play with boys engaging in higher amounts of active play compared to girls during the weekday and weekend. </w:t>
      </w:r>
    </w:p>
    <w:p w14:paraId="38032FAF" w14:textId="77777777" w:rsidR="00F7712B" w:rsidRDefault="00F7712B" w:rsidP="00F7712B">
      <w:pPr>
        <w:pStyle w:val="Default"/>
        <w:rPr>
          <w:b/>
          <w:bCs/>
          <w:sz w:val="22"/>
          <w:szCs w:val="22"/>
        </w:rPr>
      </w:pPr>
    </w:p>
    <w:p w14:paraId="6D4915A0" w14:textId="77777777" w:rsidR="00F7712B" w:rsidRPr="00455E84" w:rsidRDefault="00F7712B" w:rsidP="00F7712B">
      <w:pPr>
        <w:pStyle w:val="Default"/>
        <w:rPr>
          <w:b/>
          <w:bCs/>
          <w:sz w:val="22"/>
          <w:szCs w:val="22"/>
        </w:rPr>
      </w:pPr>
    </w:p>
    <w:p w14:paraId="0B69A4BD" w14:textId="77777777" w:rsidR="00F7712B" w:rsidRDefault="00F7712B">
      <w:pPr>
        <w:rPr>
          <w:rFonts w:eastAsia="Times New Roman" w:cs="Times New Roman"/>
          <w:b/>
          <w:bCs/>
          <w:kern w:val="36"/>
          <w:sz w:val="32"/>
          <w:szCs w:val="48"/>
          <w:u w:val="single"/>
          <w:lang w:eastAsia="en-GB"/>
        </w:rPr>
      </w:pPr>
      <w:r>
        <w:rPr>
          <w:rFonts w:eastAsia="Times New Roman" w:cs="Times New Roman"/>
          <w:b/>
          <w:bCs/>
          <w:kern w:val="36"/>
          <w:sz w:val="32"/>
          <w:szCs w:val="48"/>
          <w:u w:val="single"/>
          <w:lang w:eastAsia="en-GB"/>
        </w:rPr>
        <w:br w:type="page"/>
      </w:r>
    </w:p>
    <w:p w14:paraId="3BD2C912" w14:textId="4DBDF872" w:rsidR="001B6C86" w:rsidRDefault="001B6C86" w:rsidP="00180B47">
      <w:pPr>
        <w:pStyle w:val="Heading1"/>
      </w:pPr>
      <w:bookmarkStart w:id="13" w:name="_Toc68789657"/>
      <w:r>
        <w:t xml:space="preserve">Indicator 5: </w:t>
      </w:r>
      <w:r w:rsidR="00673464">
        <w:t>Active Transportation</w:t>
      </w:r>
      <w:bookmarkEnd w:id="13"/>
    </w:p>
    <w:p w14:paraId="510686A3" w14:textId="22E63DE1" w:rsidR="00673464" w:rsidRPr="000A11DE" w:rsidRDefault="00673464" w:rsidP="00673464">
      <w:pPr>
        <w:pStyle w:val="NormalWeb"/>
        <w:snapToGrid w:val="0"/>
        <w:rPr>
          <w:rFonts w:ascii="Calibri" w:hAnsi="Calibri" w:cs="Calibri"/>
          <w:b/>
          <w:bCs/>
          <w:sz w:val="22"/>
          <w:szCs w:val="22"/>
        </w:rPr>
      </w:pPr>
      <w:r>
        <w:rPr>
          <w:rFonts w:ascii="Calibri" w:hAnsi="Calibri" w:cs="Calibri"/>
          <w:b/>
          <w:bCs/>
          <w:sz w:val="22"/>
          <w:szCs w:val="22"/>
        </w:rPr>
        <w:t xml:space="preserve">Benchmark: </w:t>
      </w:r>
      <w:r>
        <w:rPr>
          <w:rFonts w:ascii="Calibri" w:hAnsi="Calibri" w:cs="Calibri"/>
          <w:sz w:val="22"/>
          <w:szCs w:val="22"/>
        </w:rPr>
        <w:t xml:space="preserve">% of children and youth who use active transportation to get to and from places (e.g., school, park, mall, friend’s house). All children and adolescents have to commute to nursery/school and so potential for active forms of commuting is assumed to be 100%. </w:t>
      </w:r>
    </w:p>
    <w:p w14:paraId="0267F210" w14:textId="77777777" w:rsidR="00673464" w:rsidRDefault="00673464" w:rsidP="00673464">
      <w:pPr>
        <w:pStyle w:val="NormalWeb"/>
        <w:snapToGrid w:val="0"/>
      </w:pPr>
      <w:r>
        <w:rPr>
          <w:rFonts w:ascii="Calibri" w:hAnsi="Calibri" w:cs="Calibri"/>
          <w:b/>
          <w:bCs/>
          <w:sz w:val="22"/>
          <w:szCs w:val="22"/>
        </w:rPr>
        <w:t xml:space="preserve">Summary of methods of measurement: </w:t>
      </w:r>
      <w:r>
        <w:rPr>
          <w:rFonts w:ascii="Calibri" w:hAnsi="Calibri" w:cs="Calibri"/>
          <w:sz w:val="22"/>
          <w:szCs w:val="22"/>
        </w:rPr>
        <w:t xml:space="preserve">all sources of data used self/parent/carer reported active travel (i.e. walking, cycling, scooting/skateboarding, and park &amp; stride) to nursery/school. </w:t>
      </w:r>
    </w:p>
    <w:p w14:paraId="68BDF0EE" w14:textId="3A6A5EF1" w:rsidR="00673464" w:rsidRDefault="00673464" w:rsidP="00673464">
      <w:pPr>
        <w:pStyle w:val="NormalWeb"/>
        <w:snapToGrid w:val="0"/>
        <w:rPr>
          <w:rFonts w:ascii="Calibri" w:hAnsi="Calibri" w:cs="Calibri"/>
          <w:sz w:val="22"/>
          <w:szCs w:val="22"/>
        </w:rPr>
      </w:pPr>
      <w:r>
        <w:rPr>
          <w:rFonts w:ascii="Calibri" w:hAnsi="Calibri" w:cs="Calibri"/>
          <w:b/>
          <w:bCs/>
          <w:sz w:val="22"/>
          <w:szCs w:val="22"/>
        </w:rPr>
        <w:t xml:space="preserve">Major gaps in Scottish data: </w:t>
      </w:r>
      <w:r w:rsidR="008A7963">
        <w:rPr>
          <w:rFonts w:ascii="Calibri" w:hAnsi="Calibri" w:cs="Calibri"/>
          <w:sz w:val="22"/>
          <w:szCs w:val="22"/>
        </w:rPr>
        <w:t>Three</w:t>
      </w:r>
      <w:r>
        <w:rPr>
          <w:rFonts w:ascii="Calibri" w:hAnsi="Calibri" w:cs="Calibri"/>
          <w:sz w:val="22"/>
          <w:szCs w:val="22"/>
        </w:rPr>
        <w:t xml:space="preserve"> </w:t>
      </w:r>
      <w:r w:rsidRPr="00745520">
        <w:rPr>
          <w:rFonts w:ascii="Calibri" w:hAnsi="Calibri" w:cs="Calibri"/>
          <w:sz w:val="22"/>
          <w:szCs w:val="22"/>
        </w:rPr>
        <w:t>sources of data available for gradi</w:t>
      </w:r>
      <w:r w:rsidR="008A7963">
        <w:rPr>
          <w:rFonts w:ascii="Calibri" w:hAnsi="Calibri" w:cs="Calibri"/>
          <w:sz w:val="22"/>
          <w:szCs w:val="22"/>
        </w:rPr>
        <w:t>ng (Hands Up Scotland Survey;</w:t>
      </w:r>
      <w:r w:rsidRPr="00745520">
        <w:rPr>
          <w:rFonts w:ascii="Calibri" w:hAnsi="Calibri" w:cs="Calibri"/>
          <w:sz w:val="22"/>
          <w:szCs w:val="22"/>
        </w:rPr>
        <w:t xml:space="preserve"> Transport &amp; Travel in Scotland</w:t>
      </w:r>
      <w:r w:rsidR="008A7963">
        <w:rPr>
          <w:rFonts w:ascii="Calibri" w:hAnsi="Calibri" w:cs="Calibri"/>
          <w:sz w:val="22"/>
          <w:szCs w:val="22"/>
        </w:rPr>
        <w:t>; HBSC</w:t>
      </w:r>
      <w:r w:rsidRPr="00745520">
        <w:rPr>
          <w:rFonts w:ascii="Calibri" w:hAnsi="Calibri" w:cs="Calibri"/>
          <w:sz w:val="22"/>
          <w:szCs w:val="22"/>
        </w:rPr>
        <w:t>)</w:t>
      </w:r>
      <w:r>
        <w:rPr>
          <w:rFonts w:ascii="Calibri" w:hAnsi="Calibri" w:cs="Calibri"/>
          <w:sz w:val="22"/>
          <w:szCs w:val="22"/>
        </w:rPr>
        <w:t xml:space="preserve">, data still </w:t>
      </w:r>
      <w:r w:rsidRPr="00745520">
        <w:rPr>
          <w:rFonts w:ascii="Calibri" w:hAnsi="Calibri" w:cs="Calibri"/>
          <w:sz w:val="22"/>
          <w:szCs w:val="22"/>
        </w:rPr>
        <w:t xml:space="preserve">focuses on commute to and from nursery/school </w:t>
      </w:r>
      <w:r>
        <w:rPr>
          <w:rFonts w:ascii="Calibri" w:hAnsi="Calibri" w:cs="Calibri"/>
          <w:sz w:val="22"/>
          <w:szCs w:val="22"/>
        </w:rPr>
        <w:t xml:space="preserve">only </w:t>
      </w:r>
      <w:r w:rsidRPr="00745520">
        <w:rPr>
          <w:rFonts w:ascii="Calibri" w:hAnsi="Calibri" w:cs="Calibri"/>
          <w:sz w:val="22"/>
          <w:szCs w:val="22"/>
        </w:rPr>
        <w:t>(for 3- to 18-year-olds)</w:t>
      </w:r>
      <w:r w:rsidR="00AB2776">
        <w:rPr>
          <w:rFonts w:ascii="Calibri" w:hAnsi="Calibri" w:cs="Calibri"/>
          <w:sz w:val="22"/>
          <w:szCs w:val="22"/>
        </w:rPr>
        <w:t>. There a</w:t>
      </w:r>
      <w:r>
        <w:rPr>
          <w:rFonts w:ascii="Calibri" w:hAnsi="Calibri" w:cs="Calibri"/>
          <w:sz w:val="22"/>
          <w:szCs w:val="22"/>
        </w:rPr>
        <w:t>ppears to be no</w:t>
      </w:r>
      <w:r w:rsidRPr="00745520">
        <w:rPr>
          <w:rFonts w:ascii="Calibri" w:hAnsi="Calibri" w:cs="Calibri"/>
          <w:sz w:val="22"/>
          <w:szCs w:val="22"/>
        </w:rPr>
        <w:t xml:space="preserve"> data </w:t>
      </w:r>
      <w:r>
        <w:rPr>
          <w:rFonts w:ascii="Calibri" w:hAnsi="Calibri" w:cs="Calibri"/>
          <w:sz w:val="22"/>
          <w:szCs w:val="22"/>
        </w:rPr>
        <w:t xml:space="preserve">describing </w:t>
      </w:r>
      <w:r w:rsidRPr="00745520">
        <w:rPr>
          <w:rFonts w:ascii="Calibri" w:hAnsi="Calibri" w:cs="Calibri"/>
          <w:sz w:val="22"/>
          <w:szCs w:val="22"/>
        </w:rPr>
        <w:t>active commuting to and from other places.</w:t>
      </w:r>
      <w:r>
        <w:rPr>
          <w:rFonts w:ascii="Calibri" w:hAnsi="Calibri" w:cs="Calibri"/>
          <w:sz w:val="22"/>
          <w:szCs w:val="22"/>
        </w:rPr>
        <w:t xml:space="preserve"> Despite efforts to increase active travel (substantially more government funding), some </w:t>
      </w:r>
      <w:r w:rsidR="00AB2776">
        <w:rPr>
          <w:rFonts w:ascii="Calibri" w:hAnsi="Calibri" w:cs="Calibri"/>
          <w:sz w:val="22"/>
          <w:szCs w:val="22"/>
        </w:rPr>
        <w:t xml:space="preserve">of the available Scottish </w:t>
      </w:r>
      <w:r>
        <w:rPr>
          <w:rFonts w:ascii="Calibri" w:hAnsi="Calibri" w:cs="Calibri"/>
          <w:sz w:val="22"/>
          <w:szCs w:val="22"/>
        </w:rPr>
        <w:t xml:space="preserve">data suggest a trend of decreasing active school transport. </w:t>
      </w:r>
    </w:p>
    <w:p w14:paraId="5661504F" w14:textId="77777777" w:rsidR="000263E9" w:rsidRDefault="008A7963" w:rsidP="00673464">
      <w:pPr>
        <w:pStyle w:val="NormalWeb"/>
        <w:snapToGrid w:val="0"/>
        <w:rPr>
          <w:rFonts w:ascii="Calibri" w:hAnsi="Calibri" w:cs="Calibri"/>
          <w:sz w:val="22"/>
          <w:szCs w:val="22"/>
        </w:rPr>
      </w:pPr>
      <w:r w:rsidRPr="008A7963">
        <w:rPr>
          <w:rFonts w:ascii="Calibri" w:hAnsi="Calibri" w:cs="Calibri"/>
          <w:b/>
          <w:sz w:val="22"/>
          <w:szCs w:val="22"/>
        </w:rPr>
        <w:t>Draft grade= C-</w:t>
      </w:r>
      <w:r>
        <w:rPr>
          <w:rFonts w:ascii="Calibri" w:hAnsi="Calibri" w:cs="Calibri"/>
          <w:sz w:val="22"/>
          <w:szCs w:val="22"/>
        </w:rPr>
        <w:t xml:space="preserve"> (40-46%). </w:t>
      </w:r>
      <w:r w:rsidR="00673464" w:rsidRPr="000A11DE">
        <w:rPr>
          <w:rFonts w:ascii="Calibri" w:hAnsi="Calibri" w:cs="Calibri"/>
          <w:b/>
          <w:bCs/>
          <w:sz w:val="22"/>
          <w:szCs w:val="22"/>
        </w:rPr>
        <w:t>Indication of inequality:</w:t>
      </w:r>
      <w:r w:rsidR="00673464">
        <w:rPr>
          <w:rFonts w:ascii="Calibri" w:hAnsi="Calibri" w:cs="Calibri"/>
          <w:b/>
          <w:bCs/>
          <w:sz w:val="22"/>
          <w:szCs w:val="22"/>
        </w:rPr>
        <w:t xml:space="preserve"> </w:t>
      </w:r>
      <w:r w:rsidR="00673464">
        <w:rPr>
          <w:rFonts w:ascii="Calibri" w:hAnsi="Calibri" w:cs="Calibri"/>
          <w:sz w:val="22"/>
          <w:szCs w:val="22"/>
        </w:rPr>
        <w:t>There is some indication of inequality in active school transport (in older children; there appears to be some differences between 1</w:t>
      </w:r>
      <w:r w:rsidR="00673464" w:rsidRPr="009E0F9F">
        <w:rPr>
          <w:rFonts w:ascii="Calibri" w:hAnsi="Calibri" w:cs="Calibri"/>
          <w:sz w:val="22"/>
          <w:szCs w:val="22"/>
          <w:vertAlign w:val="superscript"/>
        </w:rPr>
        <w:t>st</w:t>
      </w:r>
      <w:r w:rsidR="00673464">
        <w:rPr>
          <w:rFonts w:ascii="Calibri" w:hAnsi="Calibri" w:cs="Calibri"/>
          <w:sz w:val="22"/>
          <w:szCs w:val="22"/>
        </w:rPr>
        <w:t xml:space="preserve"> and 5</w:t>
      </w:r>
      <w:r w:rsidR="00673464" w:rsidRPr="009E0F9F">
        <w:rPr>
          <w:rFonts w:ascii="Calibri" w:hAnsi="Calibri" w:cs="Calibri"/>
          <w:sz w:val="22"/>
          <w:szCs w:val="22"/>
          <w:vertAlign w:val="superscript"/>
        </w:rPr>
        <w:t>th</w:t>
      </w:r>
      <w:r w:rsidR="00673464">
        <w:rPr>
          <w:rFonts w:ascii="Calibri" w:hAnsi="Calibri" w:cs="Calibri"/>
          <w:sz w:val="22"/>
          <w:szCs w:val="22"/>
        </w:rPr>
        <w:t xml:space="preserve"> quintile levels of deprivation in both walking and cycling to school).</w:t>
      </w:r>
    </w:p>
    <w:p w14:paraId="194F0242" w14:textId="7724E8B4" w:rsidR="000263E9" w:rsidRPr="000263E9" w:rsidRDefault="000263E9" w:rsidP="00673464">
      <w:pPr>
        <w:pStyle w:val="NormalWeb"/>
        <w:snapToGrid w:val="0"/>
        <w:rPr>
          <w:rFonts w:ascii="Calibri" w:hAnsi="Calibri" w:cs="Calibri"/>
          <w:b/>
          <w:sz w:val="22"/>
          <w:szCs w:val="22"/>
        </w:rPr>
      </w:pPr>
      <w:r w:rsidRPr="000263E9">
        <w:rPr>
          <w:rFonts w:ascii="Calibri" w:hAnsi="Calibri" w:cs="Calibri"/>
          <w:b/>
          <w:sz w:val="22"/>
          <w:szCs w:val="22"/>
        </w:rPr>
        <w:t>For further detail on the potential sources of data used to grade see Table 2.</w:t>
      </w:r>
    </w:p>
    <w:p w14:paraId="6543ECBF" w14:textId="5EEFAB1F" w:rsidR="001B6C86" w:rsidRPr="000263E9" w:rsidRDefault="001B6C86" w:rsidP="000263E9">
      <w:pPr>
        <w:pStyle w:val="NormalWeb"/>
        <w:snapToGrid w:val="0"/>
        <w:rPr>
          <w:rFonts w:ascii="Calibri" w:hAnsi="Calibri" w:cs="Calibri"/>
          <w:sz w:val="22"/>
          <w:szCs w:val="22"/>
        </w:rPr>
      </w:pPr>
    </w:p>
    <w:p w14:paraId="2AFA0C8E" w14:textId="7BA4F4ED" w:rsidR="00673464" w:rsidRDefault="00673464" w:rsidP="00180B47">
      <w:pPr>
        <w:pStyle w:val="Heading1"/>
      </w:pPr>
      <w:bookmarkStart w:id="14" w:name="_Toc68789658"/>
      <w:r>
        <w:t>Indicator 6: Physical Fitness</w:t>
      </w:r>
      <w:bookmarkEnd w:id="14"/>
    </w:p>
    <w:p w14:paraId="1F9548CB" w14:textId="77777777" w:rsidR="00673464" w:rsidRPr="00673464" w:rsidRDefault="00673464" w:rsidP="00673464">
      <w:pPr>
        <w:pStyle w:val="Default"/>
        <w:rPr>
          <w:rFonts w:asciiTheme="minorHAnsi" w:hAnsiTheme="minorHAnsi" w:cstheme="minorHAnsi"/>
          <w:sz w:val="22"/>
          <w:szCs w:val="22"/>
        </w:rPr>
      </w:pPr>
      <w:r w:rsidRPr="00673464">
        <w:rPr>
          <w:rFonts w:asciiTheme="minorHAnsi" w:hAnsiTheme="minorHAnsi" w:cstheme="minorHAnsi"/>
          <w:b/>
          <w:bCs/>
          <w:sz w:val="22"/>
          <w:szCs w:val="22"/>
        </w:rPr>
        <w:t xml:space="preserve">Benchmark: </w:t>
      </w:r>
      <w:r w:rsidRPr="00673464">
        <w:rPr>
          <w:rFonts w:asciiTheme="minorHAnsi" w:hAnsiTheme="minorHAnsi" w:cstheme="minorHAnsi"/>
          <w:sz w:val="22"/>
          <w:szCs w:val="22"/>
        </w:rPr>
        <w:t xml:space="preserve">Data on physical fitness indicators (e.g. cardiorespiratory fitness, grip strength, balance etc) should be interpreted using sex-specific and age-specific European normative values from ‘Tomkinson et al European normative values for physical fitness in children and adolescents aged 9–17 years: results from 2 779 165 Eurofit performances representing 30 countries </w:t>
      </w:r>
      <w:r w:rsidRPr="00673464">
        <w:rPr>
          <w:rFonts w:asciiTheme="minorHAnsi" w:hAnsiTheme="minorHAnsi" w:cstheme="minorHAnsi"/>
          <w:i/>
          <w:iCs/>
          <w:sz w:val="22"/>
          <w:szCs w:val="22"/>
        </w:rPr>
        <w:t xml:space="preserve">Br J Sports Med </w:t>
      </w:r>
      <w:r w:rsidRPr="00673464">
        <w:rPr>
          <w:rFonts w:asciiTheme="minorHAnsi" w:hAnsiTheme="minorHAnsi" w:cstheme="minorHAnsi"/>
          <w:sz w:val="22"/>
          <w:szCs w:val="22"/>
        </w:rPr>
        <w:t xml:space="preserve">Published (2017) 10.1136/bjsports-2017-098253’. </w:t>
      </w:r>
    </w:p>
    <w:p w14:paraId="025529BA" w14:textId="5A065042" w:rsidR="00673464" w:rsidRDefault="00673464" w:rsidP="00673464">
      <w:pPr>
        <w:spacing w:before="240"/>
        <w:rPr>
          <w:rFonts w:cstheme="minorHAnsi"/>
        </w:rPr>
      </w:pPr>
      <w:r w:rsidRPr="00673464">
        <w:rPr>
          <w:rFonts w:cstheme="minorHAnsi"/>
          <w:b/>
          <w:bCs/>
        </w:rPr>
        <w:t xml:space="preserve">Major Gaps in Scottish data: </w:t>
      </w:r>
      <w:r w:rsidRPr="00673464">
        <w:rPr>
          <w:rFonts w:cstheme="minorHAnsi"/>
        </w:rPr>
        <w:t>There are no nationally representative data on indicators of physical fitness or motor competence in children and young people in Scotland.</w:t>
      </w:r>
      <w:r w:rsidR="00D97D23">
        <w:rPr>
          <w:rFonts w:cstheme="minorHAnsi"/>
        </w:rPr>
        <w:t xml:space="preserve"> A summary of our search for relevant data is in Table 3.</w:t>
      </w:r>
    </w:p>
    <w:p w14:paraId="0F2EED33" w14:textId="5695A45A" w:rsidR="00673464" w:rsidRDefault="00673464">
      <w:pPr>
        <w:rPr>
          <w:rFonts w:eastAsia="Times New Roman" w:cs="Times New Roman"/>
          <w:b/>
          <w:bCs/>
          <w:kern w:val="36"/>
          <w:sz w:val="32"/>
          <w:szCs w:val="48"/>
          <w:u w:val="single"/>
          <w:lang w:eastAsia="en-GB"/>
        </w:rPr>
      </w:pPr>
      <w:r>
        <w:rPr>
          <w:rFonts w:eastAsia="Times New Roman" w:cs="Times New Roman"/>
          <w:b/>
          <w:bCs/>
          <w:kern w:val="36"/>
          <w:sz w:val="32"/>
          <w:szCs w:val="48"/>
          <w:u w:val="single"/>
          <w:lang w:eastAsia="en-GB"/>
        </w:rPr>
        <w:br w:type="page"/>
      </w:r>
    </w:p>
    <w:p w14:paraId="40259D51" w14:textId="67A1C351" w:rsidR="000F66ED" w:rsidRDefault="000F66ED" w:rsidP="00180B47">
      <w:pPr>
        <w:pStyle w:val="Heading1"/>
      </w:pPr>
      <w:bookmarkStart w:id="15" w:name="_Toc68789659"/>
      <w:r>
        <w:t>Indicator 7: Diet</w:t>
      </w:r>
      <w:r w:rsidR="3C1AD8C8">
        <w:t xml:space="preserve"> </w:t>
      </w:r>
      <w:bookmarkEnd w:id="15"/>
    </w:p>
    <w:p w14:paraId="04865C5E" w14:textId="77777777" w:rsidR="000F66ED" w:rsidRPr="007E2DE2" w:rsidRDefault="000F66ED" w:rsidP="000F66ED">
      <w:pPr>
        <w:pStyle w:val="Default"/>
        <w:rPr>
          <w:rFonts w:asciiTheme="minorHAnsi" w:hAnsiTheme="minorHAnsi" w:cstheme="minorHAnsi"/>
          <w:bCs/>
          <w:sz w:val="22"/>
          <w:szCs w:val="22"/>
        </w:rPr>
      </w:pPr>
      <w:r w:rsidRPr="007E2DE2">
        <w:rPr>
          <w:rFonts w:asciiTheme="minorHAnsi" w:hAnsiTheme="minorHAnsi" w:cstheme="minorHAnsi"/>
          <w:b/>
          <w:bCs/>
          <w:sz w:val="22"/>
          <w:szCs w:val="22"/>
        </w:rPr>
        <w:t xml:space="preserve">Benchmark: </w:t>
      </w:r>
      <w:r w:rsidRPr="007E2DE2">
        <w:rPr>
          <w:rFonts w:asciiTheme="minorHAnsi" w:hAnsiTheme="minorHAnsi" w:cstheme="minorHAnsi"/>
          <w:bCs/>
          <w:sz w:val="22"/>
          <w:szCs w:val="22"/>
        </w:rPr>
        <w:t>% of children and adolescents consuming at least 5 portions of fruit and vegetables a day, % of children and adolescents meeting the Scottish Dietary Goals (SDGs) which were revised in 2016</w:t>
      </w:r>
      <w:r w:rsidRPr="007E2DE2">
        <w:rPr>
          <w:rFonts w:asciiTheme="minorHAnsi" w:hAnsiTheme="minorHAnsi" w:cstheme="minorHAnsi"/>
          <w:bCs/>
          <w:sz w:val="22"/>
          <w:szCs w:val="22"/>
          <w:vertAlign w:val="superscript"/>
        </w:rPr>
        <w:t xml:space="preserve"> </w:t>
      </w:r>
      <w:r w:rsidRPr="007E2DE2">
        <w:rPr>
          <w:rFonts w:asciiTheme="minorHAnsi" w:hAnsiTheme="minorHAnsi" w:cstheme="minorHAnsi"/>
          <w:bCs/>
          <w:sz w:val="22"/>
          <w:szCs w:val="22"/>
        </w:rPr>
        <w:t>(e.g. a</w:t>
      </w:r>
      <w:r w:rsidRPr="007E2DE2">
        <w:rPr>
          <w:rFonts w:asciiTheme="minorHAnsi" w:hAnsiTheme="minorHAnsi" w:cstheme="minorHAnsi"/>
          <w:sz w:val="22"/>
          <w:szCs w:val="22"/>
        </w:rPr>
        <w:t>verage intake of free sugars should not exceed 5% of total energy intake in children over 2 years,</w:t>
      </w:r>
      <w:r>
        <w:rPr>
          <w:rFonts w:asciiTheme="minorHAnsi" w:hAnsiTheme="minorHAnsi" w:cstheme="minorHAnsi"/>
          <w:sz w:val="22"/>
          <w:szCs w:val="22"/>
        </w:rPr>
        <w:t xml:space="preserve"> </w:t>
      </w:r>
      <w:r w:rsidRPr="007E2DE2">
        <w:rPr>
          <w:rFonts w:asciiTheme="minorHAnsi" w:hAnsiTheme="minorHAnsi" w:cstheme="minorHAnsi"/>
          <w:sz w:val="22"/>
          <w:szCs w:val="22"/>
        </w:rPr>
        <w:t xml:space="preserve">average intake in saturated fat should not exceed 11% of </w:t>
      </w:r>
      <w:r>
        <w:rPr>
          <w:rFonts w:asciiTheme="minorHAnsi" w:hAnsiTheme="minorHAnsi" w:cstheme="minorHAnsi"/>
          <w:sz w:val="22"/>
          <w:szCs w:val="22"/>
        </w:rPr>
        <w:t>food</w:t>
      </w:r>
      <w:r w:rsidRPr="007E2DE2">
        <w:rPr>
          <w:rFonts w:asciiTheme="minorHAnsi" w:hAnsiTheme="minorHAnsi" w:cstheme="minorHAnsi"/>
          <w:sz w:val="22"/>
          <w:szCs w:val="22"/>
        </w:rPr>
        <w:t xml:space="preserve"> energy intake</w:t>
      </w:r>
      <w:r>
        <w:rPr>
          <w:rFonts w:asciiTheme="minorHAnsi" w:hAnsiTheme="minorHAnsi" w:cstheme="minorHAnsi"/>
          <w:sz w:val="22"/>
          <w:szCs w:val="22"/>
        </w:rPr>
        <w:t xml:space="preserve"> (often equivalent to total energy in children)</w:t>
      </w:r>
      <w:r w:rsidRPr="007E2DE2">
        <w:rPr>
          <w:rFonts w:asciiTheme="minorHAnsi" w:hAnsiTheme="minorHAnsi" w:cstheme="minorHAnsi"/>
          <w:sz w:val="22"/>
          <w:szCs w:val="22"/>
        </w:rPr>
        <w:t>)</w:t>
      </w:r>
      <w:r w:rsidRPr="007E2DE2">
        <w:rPr>
          <w:rFonts w:asciiTheme="minorHAnsi" w:hAnsiTheme="minorHAnsi" w:cstheme="minorHAnsi"/>
          <w:bCs/>
          <w:sz w:val="22"/>
          <w:szCs w:val="22"/>
        </w:rPr>
        <w:t xml:space="preserve"> </w:t>
      </w:r>
      <w:hyperlink r:id="rId19" w:history="1">
        <w:r w:rsidRPr="007E2DE2">
          <w:rPr>
            <w:rStyle w:val="Hyperlink"/>
            <w:rFonts w:asciiTheme="minorHAnsi" w:hAnsiTheme="minorHAnsi" w:cstheme="minorHAnsi"/>
            <w:bCs/>
            <w:sz w:val="22"/>
            <w:szCs w:val="22"/>
          </w:rPr>
          <w:t>https://www2.gov.scot/Topics/Health/Healthy-Living/Food-Health/DietaryGoalsScot</w:t>
        </w:r>
      </w:hyperlink>
      <w:r w:rsidRPr="007E2DE2">
        <w:rPr>
          <w:rFonts w:asciiTheme="minorHAnsi" w:hAnsiTheme="minorHAnsi" w:cstheme="minorHAnsi"/>
          <w:bCs/>
          <w:sz w:val="22"/>
          <w:szCs w:val="22"/>
        </w:rPr>
        <w:t xml:space="preserve"> </w:t>
      </w:r>
    </w:p>
    <w:p w14:paraId="319244C3" w14:textId="77777777" w:rsidR="000F66ED" w:rsidRPr="007E2DE2" w:rsidRDefault="000F66ED" w:rsidP="000F66ED">
      <w:pPr>
        <w:pStyle w:val="Default"/>
        <w:rPr>
          <w:rFonts w:asciiTheme="minorHAnsi" w:hAnsiTheme="minorHAnsi" w:cstheme="minorHAnsi"/>
          <w:bCs/>
          <w:sz w:val="22"/>
          <w:szCs w:val="22"/>
        </w:rPr>
      </w:pPr>
    </w:p>
    <w:p w14:paraId="5364B2AC" w14:textId="77777777" w:rsidR="000F66ED" w:rsidRPr="00587B24" w:rsidRDefault="000F66ED" w:rsidP="000F66ED">
      <w:pPr>
        <w:autoSpaceDE w:val="0"/>
        <w:autoSpaceDN w:val="0"/>
        <w:adjustRightInd w:val="0"/>
      </w:pPr>
      <w:r w:rsidRPr="007E2DE2">
        <w:rPr>
          <w:b/>
          <w:bCs/>
        </w:rPr>
        <w:t>Summary of Methods of measurement</w:t>
      </w:r>
      <w:r w:rsidRPr="007E2DE2">
        <w:t xml:space="preserve">: Self or parent report using 24-h recall for fruit and vegetable consumption and frequency of consumption of selected foods in the Scottish Health Survey (SHeS), and 4-day non-weighed diet diary in National Diet and Nutrition Survey (NDNS). </w:t>
      </w:r>
      <w:r>
        <w:t>Other recent surveys include</w:t>
      </w:r>
      <w:r w:rsidRPr="00520E74">
        <w:t xml:space="preserve"> </w:t>
      </w:r>
      <w:r>
        <w:t xml:space="preserve">the </w:t>
      </w:r>
      <w:r w:rsidRPr="00520E74">
        <w:t>Health Behaviour in School-Aged Children (HBSC) Scotland Study</w:t>
      </w:r>
      <w:r>
        <w:t xml:space="preserve"> 2018, which collects information on a nationally representative sample of young people aged 11, 13 and 15 years using a self-completion questionnaire. The HBSC collects information on frequency of consumption of fruit and vegetables and other</w:t>
      </w:r>
      <w:r w:rsidRPr="009A6E3F">
        <w:t xml:space="preserve"> selected </w:t>
      </w:r>
      <w:r>
        <w:t xml:space="preserve">high fat/high sugar </w:t>
      </w:r>
      <w:r w:rsidRPr="009A6E3F">
        <w:t>foods</w:t>
      </w:r>
      <w:r>
        <w:t xml:space="preserve">, but does not assess portion size. </w:t>
      </w:r>
      <w:r w:rsidRPr="007E2DE2">
        <w:t xml:space="preserve">The </w:t>
      </w:r>
      <w:r w:rsidRPr="007E2DE2">
        <w:rPr>
          <w:rFonts w:cstheme="minorHAnsi"/>
        </w:rPr>
        <w:t xml:space="preserve">Living Costs and Food Survey (LCFS) collects Scottish data on </w:t>
      </w:r>
      <w:r w:rsidRPr="007E2DE2">
        <w:t>household and eating out food and drinks purchases for every person &gt;7 years of age in each household over a 14 day period using food diaries, which is used to estimate food consumption and nutrient intakes</w:t>
      </w:r>
      <w:r>
        <w:t>,</w:t>
      </w:r>
      <w:r w:rsidRPr="00936465">
        <w:t xml:space="preserve"> for a typical average household member (i.e. cannot be reported for children)</w:t>
      </w:r>
      <w:r>
        <w:t>. There is no updated Scottish LCFS data since the previous report card.</w:t>
      </w:r>
      <w:r w:rsidRPr="007E2DE2">
        <w:t xml:space="preserve"> </w:t>
      </w:r>
      <w:r w:rsidRPr="007E2DE2">
        <w:rPr>
          <w:rFonts w:cstheme="minorHAnsi"/>
        </w:rPr>
        <w:t>Data from these surveys cannot be used for grading as they do not fit the benchmarks described above, however they do provide an insight into the (unhealthy) food and drink environment in Scotland</w:t>
      </w:r>
      <w:r>
        <w:rPr>
          <w:rFonts w:cstheme="minorHAnsi"/>
        </w:rPr>
        <w:t xml:space="preserve">. </w:t>
      </w:r>
    </w:p>
    <w:p w14:paraId="59275569" w14:textId="41573E1E" w:rsidR="000F66ED" w:rsidRDefault="000F66ED" w:rsidP="000F66ED">
      <w:r w:rsidRPr="00587B24">
        <w:rPr>
          <w:b/>
          <w:bCs/>
        </w:rPr>
        <w:t xml:space="preserve">Major gaps in Scottish data: </w:t>
      </w:r>
      <w:r w:rsidRPr="00587B24">
        <w:t xml:space="preserve">The SHeS fruit and vegetable questions are semi-quantitative (which are used to estimate the % of 2-15 year olds meeting the 5-a-day recommendation) but information on other foods describes frequency of consumption only and does not cover all foods and drinks (thus the data cannot be used to estimate the % of 2-15 year olds meeting/exceeding the SDGs). </w:t>
      </w:r>
      <w:r w:rsidRPr="00936465">
        <w:t>The NDNS provides comprehensive food and nutrient intake data for children, which is used to calculate average intakes of sugar, saturated fat etc</w:t>
      </w:r>
      <w:r>
        <w:t>.</w:t>
      </w:r>
      <w:r w:rsidRPr="00936465">
        <w:t xml:space="preserve"> and can be compared with the SDGs but the % of children and adolescents meeting/exceeding the SDGs is not reported. </w:t>
      </w:r>
      <w:r>
        <w:t xml:space="preserve">Recent NDNS data </w:t>
      </w:r>
      <w:r w:rsidRPr="00936465">
        <w:t xml:space="preserve">are </w:t>
      </w:r>
      <w:r w:rsidRPr="00936465">
        <w:rPr>
          <w:b/>
          <w:bCs/>
          <w:u w:val="single"/>
        </w:rPr>
        <w:t>not</w:t>
      </w:r>
      <w:r w:rsidRPr="00936465">
        <w:t xml:space="preserve"> available separately for Scotland. The 2008/09 to 2011/12 NDNS was reported for Scotland, this was used in the previous 2016</w:t>
      </w:r>
      <w:r>
        <w:t xml:space="preserve"> and 2018</w:t>
      </w:r>
      <w:r w:rsidRPr="00936465">
        <w:t xml:space="preserve"> report card</w:t>
      </w:r>
      <w:r>
        <w:t>s</w:t>
      </w:r>
      <w:r w:rsidRPr="00936465">
        <w:t xml:space="preserve"> and has been used </w:t>
      </w:r>
      <w:r>
        <w:t xml:space="preserve">along with the more recent UK wide data </w:t>
      </w:r>
      <w:r w:rsidRPr="00936465">
        <w:t xml:space="preserve">to inform the </w:t>
      </w:r>
      <w:r w:rsidR="00FF54F7" w:rsidRPr="00936465">
        <w:t>20</w:t>
      </w:r>
      <w:r w:rsidR="00FF54F7">
        <w:t>20</w:t>
      </w:r>
      <w:r w:rsidR="00FF54F7" w:rsidRPr="00936465">
        <w:t xml:space="preserve"> </w:t>
      </w:r>
      <w:r w:rsidRPr="00936465">
        <w:t>report card due to the lack of appropriate data that fit the benchmarks from other surveys.</w:t>
      </w:r>
      <w:r w:rsidRPr="00587B24">
        <w:t xml:space="preserve">  </w:t>
      </w:r>
    </w:p>
    <w:p w14:paraId="550490AF" w14:textId="4AF6D6F2" w:rsidR="000F66ED" w:rsidRPr="00AB2776" w:rsidRDefault="00D97D23" w:rsidP="000F66ED">
      <w:pPr>
        <w:rPr>
          <w:b/>
        </w:rPr>
      </w:pPr>
      <w:r>
        <w:t xml:space="preserve">Draft Grade- further detail on Scottish data sources are provided in </w:t>
      </w:r>
      <w:r w:rsidRPr="00D97D23">
        <w:rPr>
          <w:b/>
        </w:rPr>
        <w:t>Table 4,</w:t>
      </w:r>
      <w:r>
        <w:t xml:space="preserve"> but grading for the 2020 report card could only be based on the % of children and adolescents meeting the 5 portions of fruit and vegetables/day-this was well below 20% overall (F grade), </w:t>
      </w:r>
      <w:r w:rsidRPr="00AB2776">
        <w:rPr>
          <w:b/>
        </w:rPr>
        <w:t xml:space="preserve">and was much </w:t>
      </w:r>
      <w:r w:rsidR="005C4FE6" w:rsidRPr="00AB2776">
        <w:rPr>
          <w:b/>
        </w:rPr>
        <w:t xml:space="preserve">lower </w:t>
      </w:r>
      <w:r w:rsidRPr="00AB2776">
        <w:rPr>
          <w:b/>
        </w:rPr>
        <w:t>in children and adolescents from more socio-economically deprived families than those from less socioeconomically deprived families.</w:t>
      </w:r>
    </w:p>
    <w:p w14:paraId="735D8CCA" w14:textId="77777777" w:rsidR="00885ECB" w:rsidRDefault="00885ECB">
      <w:r>
        <w:br w:type="page"/>
      </w:r>
    </w:p>
    <w:p w14:paraId="6541FEC6" w14:textId="0696AE62" w:rsidR="00885ECB" w:rsidRPr="00626C81" w:rsidRDefault="00885ECB" w:rsidP="00180B47">
      <w:pPr>
        <w:pStyle w:val="Heading1"/>
        <w:rPr>
          <w:sz w:val="22"/>
          <w:szCs w:val="22"/>
        </w:rPr>
      </w:pPr>
      <w:bookmarkStart w:id="16" w:name="_Toc530040880"/>
      <w:bookmarkStart w:id="17" w:name="_Toc530040898"/>
      <w:bookmarkStart w:id="18" w:name="_Toc68789660"/>
      <w:r w:rsidRPr="00180B47">
        <w:t>Indicator</w:t>
      </w:r>
      <w:r w:rsidRPr="008C684E">
        <w:t xml:space="preserve"> </w:t>
      </w:r>
      <w:r>
        <w:t>8</w:t>
      </w:r>
      <w:r w:rsidRPr="008C684E">
        <w:t xml:space="preserve">: </w:t>
      </w:r>
      <w:r>
        <w:t>Obesity</w:t>
      </w:r>
      <w:bookmarkEnd w:id="16"/>
      <w:bookmarkEnd w:id="17"/>
      <w:bookmarkEnd w:id="18"/>
    </w:p>
    <w:p w14:paraId="2FD7E3F9" w14:textId="77777777" w:rsidR="00885ECB" w:rsidRPr="003F0F3F" w:rsidRDefault="00885ECB" w:rsidP="00885ECB">
      <w:pPr>
        <w:spacing w:line="240" w:lineRule="auto"/>
      </w:pPr>
      <w:r w:rsidRPr="003F0F3F">
        <w:rPr>
          <w:b/>
        </w:rPr>
        <w:t xml:space="preserve">Benchmark: </w:t>
      </w:r>
      <w:r w:rsidRPr="003F0F3F">
        <w:t>Obesity is an excess of body fatness (a level of body fatness which increases risk of disease) and so, ideally, the prevalence of obesity should be estimated based on body fatness measures from national surveys. In Scotland, as in most other countries, body fatness is not measured and a simpler proxy for body fatness, the Body Mass Index (BMI) is used to estimate prevalence of obesity. BMI is much lower in children and adolescents than in adults and so for the age range 2-18 years, BMI should be expressed relative to age and sex as a centile or SD score (SIGN 2003, 2010); for school-age children and adolescents these centiles or SD scores should be expressed or calculated relative to UK 1990 reference data; for children aged up to 4 years the UK 1990 data have been replaced by growth standard data derived from the World Health Organisation multicentre growth reference study and so the WHO data and definitions should be used when estimating obesity prevalence of 2-4 year olds.  Note that UK 1990 reference data should not be used for toddlers and pre-school children, and adult BMI criteria (e.g. BMI &gt; 30.0 to define obesity) should not be used until at least age 19 years.</w:t>
      </w:r>
    </w:p>
    <w:p w14:paraId="08518C78" w14:textId="47E9F72B" w:rsidR="00885ECB" w:rsidRPr="003F0F3F" w:rsidRDefault="00885ECB" w:rsidP="00885ECB">
      <w:pPr>
        <w:spacing w:line="240" w:lineRule="auto"/>
      </w:pPr>
      <w:r w:rsidRPr="003F0F3F">
        <w:rPr>
          <w:b/>
        </w:rPr>
        <w:t>Summary of Methods of Measurement:</w:t>
      </w:r>
      <w:r w:rsidRPr="003F0F3F">
        <w:t xml:space="preserve"> Two sources of data are available: the Scottish Health Survey (SHeS) measured height and weight in 2-15 year olds and the Child Health Surveillance Programme measured height and weight in </w:t>
      </w:r>
      <w:r>
        <w:t xml:space="preserve">Primary 1 children (approximately </w:t>
      </w:r>
      <w:r w:rsidRPr="003F0F3F">
        <w:t>5 year olds</w:t>
      </w:r>
      <w:r>
        <w:t>)</w:t>
      </w:r>
      <w:r w:rsidRPr="003F0F3F">
        <w:t xml:space="preserve">. Scottish Health Survey data for 16-18 year olds are reported separately and </w:t>
      </w:r>
      <w:r w:rsidR="00D97D23">
        <w:t>–</w:t>
      </w:r>
      <w:r w:rsidR="00FF54F7">
        <w:t xml:space="preserve"> </w:t>
      </w:r>
      <w:r w:rsidR="00D97D23">
        <w:t>incorrectly-</w:t>
      </w:r>
      <w:r w:rsidRPr="003F0F3F">
        <w:t>use adult BMI criteria</w:t>
      </w:r>
      <w:r w:rsidR="00AB2776">
        <w:t xml:space="preserve"> for adolescents</w:t>
      </w:r>
      <w:r w:rsidRPr="003F0F3F">
        <w:t xml:space="preserve">. The data sources used measured height and weight to calculate BMI, and for children and adolescents </w:t>
      </w:r>
      <w:r>
        <w:t xml:space="preserve">aged 2 to 15 years </w:t>
      </w:r>
      <w:r w:rsidRPr="003F0F3F">
        <w:t>BMI data were interpreted using the UK 1990 BMI reference data. The data sources used BMI ≥ 85th percentile to define overweight and obesity and BMI ≥ 95th percentile to define obesity</w:t>
      </w:r>
      <w:r>
        <w:t xml:space="preserve">. </w:t>
      </w:r>
    </w:p>
    <w:p w14:paraId="3B86963C" w14:textId="0DDE1E25" w:rsidR="00885ECB" w:rsidRDefault="00885ECB" w:rsidP="00885ECB">
      <w:pPr>
        <w:spacing w:line="240" w:lineRule="auto"/>
        <w:rPr>
          <w:rFonts w:cstheme="minorHAnsi"/>
        </w:rPr>
      </w:pPr>
      <w:r w:rsidRPr="003F0F3F">
        <w:rPr>
          <w:b/>
        </w:rPr>
        <w:t xml:space="preserve">Major gaps in Scottish data: </w:t>
      </w:r>
      <w:r w:rsidRPr="003F0F3F">
        <w:t>SHeS obesity prevalence data for older adolescents (16-18 year olds) are expressed using adult criteria, which is incorrect and substantially underestimates the prevalence of obesity</w:t>
      </w:r>
      <w:r w:rsidR="00D97D23">
        <w:t xml:space="preserve"> quite apart from the inherent error in using BMI</w:t>
      </w:r>
      <w:r w:rsidRPr="003F0F3F">
        <w:t>. SHeS data for 2-4 year olds are also expressed relative to UK 1990 reference data rather than the WHO multicentre growth reference. Obesity prevalence estimates from the SHeS are compromised further by the relatively small sample size in the survey, producing relatively unstable estimates of prevalence and an inability to examine prevalence inequalities between subgroups.  Regardless of how BMI is expressed or interpreted, systematic reviews have shown that BMI provides highly conservative estimates of the prevalence of obesity (excessive fatness)</w:t>
      </w:r>
      <w:r w:rsidR="00FF54F7">
        <w:t xml:space="preserve"> </w:t>
      </w:r>
      <w:r w:rsidRPr="003F0F3F">
        <w:t>-</w:t>
      </w:r>
      <w:r w:rsidR="00FF54F7">
        <w:t xml:space="preserve"> </w:t>
      </w:r>
      <w:r w:rsidRPr="003F0F3F">
        <w:t>see Active Healthy Kids Scotland Report Card 2013 longform (www.activehealthykidsscotland.co.uk). The problem for surveillance is that BMI has a moderately high false negative rate i.e. many children and adolescents who are excessively fat have an apparently healthy BMI</w:t>
      </w:r>
      <w:r w:rsidR="00AB2776">
        <w:t>-for-age</w:t>
      </w:r>
      <w:r w:rsidRPr="003F0F3F">
        <w:t xml:space="preserve">, thus Scottish surveillance data underestimates the scale of the problem. BMI-for-age estimates were used to grade obesity in </w:t>
      </w:r>
      <w:r w:rsidR="00FF54F7" w:rsidRPr="003F0F3F">
        <w:t>20</w:t>
      </w:r>
      <w:r w:rsidR="00FF54F7">
        <w:t>20</w:t>
      </w:r>
      <w:r w:rsidR="00FF54F7" w:rsidRPr="003F0F3F">
        <w:t xml:space="preserve"> </w:t>
      </w:r>
      <w:r w:rsidRPr="003F0F3F">
        <w:t>as in previous years, but</w:t>
      </w:r>
      <w:r w:rsidR="00AB2776">
        <w:t xml:space="preserve"> with the knowledge that this provides</w:t>
      </w:r>
      <w:r w:rsidRPr="003F0F3F">
        <w:t xml:space="preserve"> a highly conservative perspective. There is a lack of data on obesity prevalence for </w:t>
      </w:r>
      <w:r w:rsidRPr="003F0F3F">
        <w:rPr>
          <w:u w:val="single"/>
        </w:rPr>
        <w:t>16 to 18 year olds</w:t>
      </w:r>
      <w:r w:rsidRPr="003F0F3F">
        <w:t xml:space="preserve"> (since the SHeS use adult criteria rather than the UK 1990 reference data to define obesity in this age group) and for </w:t>
      </w:r>
      <w:r w:rsidRPr="003F0F3F">
        <w:rPr>
          <w:u w:val="single"/>
        </w:rPr>
        <w:t>2-3 year olds</w:t>
      </w:r>
      <w:r w:rsidRPr="003F0F3F">
        <w:t xml:space="preserve"> (the SHeS use </w:t>
      </w:r>
      <w:r w:rsidRPr="003F0F3F">
        <w:rPr>
          <w:rFonts w:cstheme="minorHAnsi"/>
        </w:rPr>
        <w:t>the UK 1990 BMI reference data</w:t>
      </w:r>
      <w:r w:rsidRPr="003F0F3F">
        <w:t xml:space="preserve"> instead of the </w:t>
      </w:r>
      <w:r w:rsidRPr="003F0F3F">
        <w:rPr>
          <w:rFonts w:cstheme="minorHAnsi"/>
        </w:rPr>
        <w:t xml:space="preserve">WHO growth standard data to </w:t>
      </w:r>
      <w:r w:rsidRPr="003F0F3F">
        <w:t xml:space="preserve">define obesity in </w:t>
      </w:r>
      <w:r w:rsidRPr="003F0F3F">
        <w:rPr>
          <w:rFonts w:cstheme="minorHAnsi"/>
        </w:rPr>
        <w:t>children aged up to 4 years)</w:t>
      </w:r>
      <w:r w:rsidR="00FF54F7">
        <w:rPr>
          <w:rFonts w:cstheme="minorHAnsi"/>
        </w:rPr>
        <w:t>.</w:t>
      </w:r>
      <w:r w:rsidRPr="003F0F3F">
        <w:rPr>
          <w:rFonts w:cstheme="minorHAnsi"/>
        </w:rPr>
        <w:t xml:space="preserve"> </w:t>
      </w:r>
      <w:r w:rsidR="00D97D23">
        <w:rPr>
          <w:rFonts w:cstheme="minorHAnsi"/>
        </w:rPr>
        <w:t xml:space="preserve">An additional problem is that the SHeS is too small to provide prevalence estimates with a high degree of certainty, and </w:t>
      </w:r>
      <w:r w:rsidR="001C67A9">
        <w:rPr>
          <w:rFonts w:cstheme="minorHAnsi"/>
        </w:rPr>
        <w:t>too small to identify inequalities in obesity prevalence with certainty.</w:t>
      </w:r>
      <w:r w:rsidR="00FF54F7">
        <w:rPr>
          <w:rFonts w:cstheme="minorHAnsi"/>
        </w:rPr>
        <w:t xml:space="preserve"> The</w:t>
      </w:r>
      <w:r w:rsidR="00FF54F7" w:rsidRPr="00FF54F7">
        <w:t xml:space="preserve"> </w:t>
      </w:r>
      <w:r w:rsidR="00FF54F7" w:rsidRPr="00FF54F7">
        <w:rPr>
          <w:rFonts w:cstheme="minorHAnsi"/>
        </w:rPr>
        <w:t>Child Health Surveillance Programme</w:t>
      </w:r>
      <w:r w:rsidR="00FF54F7">
        <w:rPr>
          <w:rFonts w:cstheme="minorHAnsi"/>
        </w:rPr>
        <w:t xml:space="preserve"> only assesses children </w:t>
      </w:r>
      <w:r w:rsidR="00FF54F7" w:rsidRPr="00FF54F7">
        <w:rPr>
          <w:rFonts w:cstheme="minorHAnsi"/>
        </w:rPr>
        <w:t xml:space="preserve">in Primary 1 </w:t>
      </w:r>
      <w:r w:rsidR="00FF54F7">
        <w:rPr>
          <w:rFonts w:cstheme="minorHAnsi"/>
        </w:rPr>
        <w:t xml:space="preserve">(approximately 5 years). </w:t>
      </w:r>
    </w:p>
    <w:p w14:paraId="4963F8D1" w14:textId="2AF3E3E3" w:rsidR="00D97D23" w:rsidRDefault="00D97D23" w:rsidP="00885ECB">
      <w:pPr>
        <w:spacing w:line="240" w:lineRule="auto"/>
        <w:rPr>
          <w:rFonts w:cstheme="minorHAnsi"/>
        </w:rPr>
      </w:pPr>
    </w:p>
    <w:p w14:paraId="697A360E" w14:textId="1D36B96B" w:rsidR="00D97D23" w:rsidRPr="00DC519F" w:rsidRDefault="00D97D23" w:rsidP="00885ECB">
      <w:pPr>
        <w:spacing w:line="240" w:lineRule="auto"/>
        <w:rPr>
          <w:rFonts w:cstheme="minorHAnsi"/>
          <w:b/>
        </w:rPr>
      </w:pPr>
      <w:r>
        <w:rPr>
          <w:rFonts w:cstheme="minorHAnsi"/>
          <w:b/>
        </w:rPr>
        <w:t xml:space="preserve">Draft Grade. </w:t>
      </w:r>
      <w:r>
        <w:rPr>
          <w:rFonts w:cstheme="minorHAnsi"/>
        </w:rPr>
        <w:t>The major gaps and problems in obesity surveillance in Scotland summarised above makes it difficult to assign a grade to obesity prevalence, and prevalence of obesity is hard to fit into a grading scheme designed for prevalence of meeting recommendations for health behaviours.</w:t>
      </w:r>
      <w:r w:rsidR="001C67A9">
        <w:rPr>
          <w:rFonts w:cstheme="minorHAnsi"/>
        </w:rPr>
        <w:t xml:space="preserve"> The best surveillance evidence in Scotland comes from Primary 1 measures of height and weight- these provide large samples with &gt;80% of the population measured, but only in primary 1. </w:t>
      </w:r>
      <w:r w:rsidR="001C67A9">
        <w:rPr>
          <w:rFonts w:cstheme="minorHAnsi"/>
          <w:b/>
        </w:rPr>
        <w:t xml:space="preserve">Inequalities. </w:t>
      </w:r>
      <w:r w:rsidR="001C67A9">
        <w:rPr>
          <w:rFonts w:cstheme="minorHAnsi"/>
        </w:rPr>
        <w:t>All Scottish and UK data show that obesity prevalence increases steadily with age after primary 1 and so the primary 1 data cannot be used to assign a grade. However, we note that prevalence of obesity in primary 1 (allowing for the moderately high false negative rate when</w:t>
      </w:r>
      <w:r w:rsidR="00AB2776">
        <w:rPr>
          <w:rFonts w:cstheme="minorHAnsi"/>
        </w:rPr>
        <w:t xml:space="preserve"> using BMI for age) is around 16</w:t>
      </w:r>
      <w:r w:rsidR="001C67A9">
        <w:rPr>
          <w:rFonts w:cstheme="minorHAnsi"/>
        </w:rPr>
        <w:t xml:space="preserve">%, and this is much higher in children from more deprived families than those from less deprived families. </w:t>
      </w:r>
      <w:r w:rsidR="003C43E3">
        <w:rPr>
          <w:rFonts w:cstheme="minorHAnsi"/>
        </w:rPr>
        <w:t xml:space="preserve">This higher prevalence in more deprived groups is also supported by findings from the SHeS. </w:t>
      </w:r>
      <w:r w:rsidR="001C67A9">
        <w:rPr>
          <w:rFonts w:cstheme="minorHAnsi"/>
        </w:rPr>
        <w:t>Moreover, the gap in obesity prevalence in primary 1 between the most and least socioeconomic</w:t>
      </w:r>
      <w:r w:rsidR="003C43E3">
        <w:rPr>
          <w:rFonts w:cstheme="minorHAnsi"/>
        </w:rPr>
        <w:t>ally</w:t>
      </w:r>
      <w:r w:rsidR="003C43E3" w:rsidRPr="003C43E3">
        <w:t xml:space="preserve"> </w:t>
      </w:r>
      <w:r w:rsidR="003C43E3" w:rsidRPr="003C43E3">
        <w:rPr>
          <w:rFonts w:cstheme="minorHAnsi"/>
        </w:rPr>
        <w:t>deprived</w:t>
      </w:r>
      <w:r w:rsidR="001C67A9">
        <w:rPr>
          <w:rFonts w:cstheme="minorHAnsi"/>
        </w:rPr>
        <w:t xml:space="preserve"> increased substantially over the period </w:t>
      </w:r>
      <w:r w:rsidR="003C43E3">
        <w:rPr>
          <w:rFonts w:cstheme="minorHAnsi"/>
        </w:rPr>
        <w:t>2011</w:t>
      </w:r>
      <w:r w:rsidR="001C67A9">
        <w:rPr>
          <w:rFonts w:cstheme="minorHAnsi"/>
        </w:rPr>
        <w:t xml:space="preserve">-2018 (Stewart et al BMJ Open 2021). Further information on data considered when attempting to grade obesity prevalence is provided in </w:t>
      </w:r>
      <w:r w:rsidR="001C67A9" w:rsidRPr="00DC519F">
        <w:rPr>
          <w:rFonts w:cstheme="minorHAnsi"/>
          <w:b/>
        </w:rPr>
        <w:t>Table 5.</w:t>
      </w:r>
    </w:p>
    <w:p w14:paraId="353E4FF1" w14:textId="77777777" w:rsidR="00885ECB" w:rsidRPr="003F0F3F" w:rsidRDefault="00885ECB" w:rsidP="00885ECB">
      <w:pPr>
        <w:spacing w:line="240" w:lineRule="auto"/>
        <w:rPr>
          <w:rFonts w:cstheme="minorHAnsi"/>
        </w:rPr>
      </w:pPr>
    </w:p>
    <w:p w14:paraId="1265520F" w14:textId="77777777" w:rsidR="00885ECB" w:rsidRDefault="00885ECB">
      <w:r>
        <w:br w:type="page"/>
      </w:r>
    </w:p>
    <w:p w14:paraId="34C7A199" w14:textId="20F43FC9" w:rsidR="00A959C8" w:rsidRPr="002128E2" w:rsidRDefault="00A959C8" w:rsidP="00180B47">
      <w:pPr>
        <w:pStyle w:val="Heading1"/>
        <w:rPr>
          <w:rFonts w:ascii="Calibri" w:hAnsi="Calibri" w:cs="Calibri"/>
          <w:color w:val="000000"/>
        </w:rPr>
      </w:pPr>
      <w:bookmarkStart w:id="19" w:name="_Toc68789661"/>
      <w:r w:rsidRPr="00A959C8">
        <w:t>Indicator 9: Family and Peers</w:t>
      </w:r>
      <w:bookmarkEnd w:id="11"/>
      <w:bookmarkEnd w:id="12"/>
      <w:bookmarkEnd w:id="19"/>
    </w:p>
    <w:p w14:paraId="698F3402" w14:textId="55CED9CB" w:rsidR="00A959C8" w:rsidRPr="00A959C8" w:rsidRDefault="00A959C8" w:rsidP="00A959C8">
      <w:pPr>
        <w:spacing w:line="240" w:lineRule="auto"/>
      </w:pPr>
      <w:r w:rsidRPr="00A959C8">
        <w:rPr>
          <w:b/>
        </w:rPr>
        <w:t xml:space="preserve">Benchmark (any of the following could be used to grade this indicator): </w:t>
      </w:r>
      <w:r w:rsidRPr="00A959C8">
        <w:t xml:space="preserve">% of parents </w:t>
      </w:r>
      <w:r w:rsidR="00DC519F" w:rsidRPr="00A959C8">
        <w:t>of family members (e.g. parents, guardians) who facilitate physical activity and sport opportunities for</w:t>
      </w:r>
      <w:r w:rsidR="00DC519F">
        <w:t xml:space="preserve"> their children ; % of parents </w:t>
      </w:r>
      <w:r w:rsidRPr="00A959C8">
        <w:t xml:space="preserve">who meet the Global Recommendations on PA for Health (i.e. adults accumulate </w:t>
      </w:r>
      <w:r w:rsidRPr="00A959C8">
        <w:rPr>
          <w:rFonts w:cstheme="minorHAnsi"/>
        </w:rPr>
        <w:t>≥</w:t>
      </w:r>
      <w:r w:rsidRPr="00A959C8">
        <w:t xml:space="preserve">150 minutes of moderate-intensity aerobic PA/week or </w:t>
      </w:r>
      <w:r w:rsidRPr="00A959C8">
        <w:rPr>
          <w:rFonts w:cstheme="minorHAnsi"/>
        </w:rPr>
        <w:t>≥</w:t>
      </w:r>
      <w:r w:rsidRPr="00A959C8">
        <w:t xml:space="preserve">75 minutes of vigorous-intensity aerobic PA/week or an equivalent combination of MVPA, % of family members (e.g., parents, guardians) who are physically active with their kids, % of children and youth with friends and peers who encourage and support them to be physically active, % of children and youth who encourage and support their friends and peers to be physically active. These were the benchmarks for the Global Matrix 3.0, however since child and adolescent diet and obesity are indicators in the Scottish report card, we have extended the benchmark to include estimates of parental diet and overweight/obesity. </w:t>
      </w:r>
    </w:p>
    <w:p w14:paraId="35CB313B" w14:textId="77777777" w:rsidR="00A959C8" w:rsidRPr="00A959C8" w:rsidRDefault="00A959C8" w:rsidP="00A959C8">
      <w:pPr>
        <w:autoSpaceDE w:val="0"/>
        <w:autoSpaceDN w:val="0"/>
        <w:adjustRightInd w:val="0"/>
        <w:spacing w:after="0" w:line="240" w:lineRule="auto"/>
        <w:rPr>
          <w:rFonts w:ascii="Calibri" w:hAnsi="Calibri" w:cs="Calibri"/>
          <w:b/>
          <w:bCs/>
          <w:color w:val="000000"/>
        </w:rPr>
      </w:pPr>
    </w:p>
    <w:p w14:paraId="4F2C6B9D" w14:textId="42700918" w:rsidR="00A959C8" w:rsidRDefault="00A959C8" w:rsidP="5EB6B264">
      <w:pPr>
        <w:autoSpaceDE w:val="0"/>
        <w:autoSpaceDN w:val="0"/>
        <w:adjustRightInd w:val="0"/>
        <w:spacing w:after="0" w:line="240" w:lineRule="auto"/>
        <w:rPr>
          <w:rFonts w:ascii="Calibri" w:hAnsi="Calibri" w:cs="Calibri"/>
          <w:color w:val="000000"/>
        </w:rPr>
      </w:pPr>
      <w:r w:rsidRPr="5EB6B264">
        <w:rPr>
          <w:rFonts w:ascii="Calibri" w:hAnsi="Calibri" w:cs="Calibri"/>
          <w:b/>
          <w:bCs/>
          <w:color w:val="000000" w:themeColor="text1"/>
        </w:rPr>
        <w:t xml:space="preserve">Summary of methods of measurement: </w:t>
      </w:r>
      <w:r w:rsidRPr="5EB6B264">
        <w:rPr>
          <w:rFonts w:ascii="Calibri" w:hAnsi="Calibri" w:cs="Calibri"/>
          <w:color w:val="000000" w:themeColor="text1"/>
        </w:rPr>
        <w:t xml:space="preserve">We have had to use adult data as a proxy for parental influence and the nature of the socio-ecological environment at the family level. This included 1) % of adults who met the adult physical activity guidelines, 2) % of adults with overweight and obesity, </w:t>
      </w:r>
      <w:r w:rsidR="7D35EEC0" w:rsidRPr="5EB6B264">
        <w:rPr>
          <w:rFonts w:ascii="Calibri" w:hAnsi="Calibri" w:cs="Calibri"/>
          <w:color w:val="000000" w:themeColor="text1"/>
        </w:rPr>
        <w:t>3</w:t>
      </w:r>
      <w:r w:rsidRPr="5EB6B264">
        <w:rPr>
          <w:rFonts w:ascii="Calibri" w:hAnsi="Calibri" w:cs="Calibri"/>
          <w:color w:val="000000" w:themeColor="text1"/>
        </w:rPr>
        <w:t xml:space="preserve">) % of adults who met the 5-a-day fruit and </w:t>
      </w:r>
      <w:r w:rsidR="00F43FA0" w:rsidRPr="5EB6B264">
        <w:rPr>
          <w:rFonts w:ascii="Calibri" w:hAnsi="Calibri" w:cs="Calibri"/>
          <w:color w:val="000000" w:themeColor="text1"/>
        </w:rPr>
        <w:t>veg recommendation</w:t>
      </w:r>
      <w:r w:rsidR="427A3D1B" w:rsidRPr="5EB6B264">
        <w:rPr>
          <w:rFonts w:ascii="Calibri" w:hAnsi="Calibri" w:cs="Calibri"/>
          <w:color w:val="000000" w:themeColor="text1"/>
        </w:rPr>
        <w:t>; 4) % of adults reporting frequent participation in sport and physical activity and reporting volunteering in sport and physical activity.</w:t>
      </w:r>
      <w:r w:rsidRPr="5EB6B264">
        <w:rPr>
          <w:rFonts w:ascii="Calibri" w:hAnsi="Calibri" w:cs="Calibri"/>
          <w:color w:val="000000" w:themeColor="text1"/>
        </w:rPr>
        <w:t xml:space="preserve"> </w:t>
      </w:r>
    </w:p>
    <w:p w14:paraId="7629554D" w14:textId="77777777" w:rsidR="00A959C8" w:rsidRDefault="00A959C8" w:rsidP="00A959C8">
      <w:pPr>
        <w:autoSpaceDE w:val="0"/>
        <w:autoSpaceDN w:val="0"/>
        <w:adjustRightInd w:val="0"/>
        <w:spacing w:after="0" w:line="240" w:lineRule="auto"/>
        <w:rPr>
          <w:rFonts w:ascii="Calibri" w:hAnsi="Calibri" w:cs="Calibri"/>
          <w:bCs/>
          <w:color w:val="000000"/>
        </w:rPr>
      </w:pPr>
    </w:p>
    <w:p w14:paraId="2ABA6110" w14:textId="079D8FA6" w:rsidR="00A959C8" w:rsidRPr="00A959C8" w:rsidRDefault="00A959C8" w:rsidP="00A959C8">
      <w:pPr>
        <w:autoSpaceDE w:val="0"/>
        <w:autoSpaceDN w:val="0"/>
        <w:adjustRightInd w:val="0"/>
        <w:spacing w:after="0" w:line="240" w:lineRule="auto"/>
        <w:rPr>
          <w:rFonts w:ascii="Calibri" w:hAnsi="Calibri" w:cs="Calibri"/>
          <w:bCs/>
          <w:color w:val="000000"/>
        </w:rPr>
      </w:pPr>
      <w:r w:rsidRPr="00A959C8">
        <w:rPr>
          <w:rFonts w:ascii="Calibri" w:hAnsi="Calibri" w:cs="Calibri"/>
          <w:bCs/>
          <w:color w:val="000000"/>
        </w:rPr>
        <w:t xml:space="preserve">Physical activity and diet were measured by self-report, height and weight were measured. </w:t>
      </w:r>
      <w:r w:rsidRPr="00A959C8">
        <w:rPr>
          <w:rFonts w:ascii="Calibri" w:hAnsi="Calibri" w:cs="Calibri"/>
          <w:color w:val="000000"/>
        </w:rPr>
        <w:t>Reliance on self-report methods increases risk of bias</w:t>
      </w:r>
      <w:r>
        <w:rPr>
          <w:rFonts w:ascii="Calibri" w:hAnsi="Calibri" w:cs="Calibri"/>
          <w:color w:val="000000"/>
        </w:rPr>
        <w:t xml:space="preserve">, and </w:t>
      </w:r>
      <w:r w:rsidRPr="00A959C8">
        <w:t xml:space="preserve">BMI provides a conservative estimate of obesity prevalence </w:t>
      </w:r>
      <w:r>
        <w:t xml:space="preserve">in adults </w:t>
      </w:r>
      <w:r w:rsidRPr="00A959C8">
        <w:t>(as in children), there is a high false negative rate, particularly in women, so that obesity is much more prevalent than would be suggested by prevalence of high BMI</w:t>
      </w:r>
      <w:r>
        <w:t xml:space="preserve"> (a lot of adults, especially women, with apparently healthy BMI have excessive body fatness). An additional problem is that 16-18y olds are treated as adults in the SHeS and the adult BMI definitions are</w:t>
      </w:r>
      <w:r w:rsidR="00F43FA0">
        <w:t xml:space="preserve"> </w:t>
      </w:r>
      <w:r>
        <w:t xml:space="preserve">applied to define overweight and obesity- this is incorrect </w:t>
      </w:r>
      <w:r w:rsidR="00BD520F">
        <w:t xml:space="preserve">as noted above </w:t>
      </w:r>
      <w:r>
        <w:t>and leads to a further</w:t>
      </w:r>
      <w:r w:rsidR="00BD520F">
        <w:t xml:space="preserve"> erroneous</w:t>
      </w:r>
      <w:r>
        <w:t xml:space="preserve"> underestimate of the prevalence of obesity in the adult data in SHeS. Lower BMI cut-offs should be used since BMI does not reach adult values until the end of growth (see Active Healthy Kids Scotland 2018 report card for a more detailed critique).</w:t>
      </w:r>
    </w:p>
    <w:p w14:paraId="4B2A607A" w14:textId="77777777" w:rsidR="009C70A2" w:rsidRDefault="009C70A2"/>
    <w:p w14:paraId="0465301C" w14:textId="7C7929DB" w:rsidR="001C6C6E" w:rsidRDefault="001C6C6E">
      <w:r>
        <w:rPr>
          <w:b/>
        </w:rPr>
        <w:t xml:space="preserve">Adult Physical Activity Data: </w:t>
      </w:r>
      <w:r>
        <w:t>31% of men and 27% of women</w:t>
      </w:r>
      <w:r w:rsidR="00F43FA0">
        <w:t xml:space="preserve"> in SHeS 2019</w:t>
      </w:r>
      <w:r>
        <w:t xml:space="preserve"> met the combined guidelines for moderate-to-vigorous-intensity physical a</w:t>
      </w:r>
      <w:r w:rsidR="00075D9E">
        <w:t>ctivity and muscle-strengthening</w:t>
      </w:r>
      <w:r w:rsidR="00DC519F">
        <w:t>.</w:t>
      </w:r>
    </w:p>
    <w:p w14:paraId="38F3569F" w14:textId="19E6CE4C" w:rsidR="00075D9E" w:rsidRPr="00C43DBE" w:rsidRDefault="00DC519F" w:rsidP="77E1198A">
      <w:r>
        <w:rPr>
          <w:b/>
        </w:rPr>
        <w:t xml:space="preserve">Adult Leisure-Time Screen Time Data: </w:t>
      </w:r>
      <w:r>
        <w:t>Mean of 5.4 hours/day reported on weekends; 6.2 hours /day reported on week. This cannot be graded but indicates that family environments are characterised by high levels of recreational screen time.</w:t>
      </w:r>
      <w:r w:rsidR="00075D9E" w:rsidRPr="00C43DBE">
        <w:rPr>
          <w:bCs/>
        </w:rPr>
        <w:t>Parent and adult modelling of activity and screen time is likely to be unfavourable</w:t>
      </w:r>
      <w:r w:rsidR="28447293" w:rsidRPr="00C43DBE">
        <w:rPr>
          <w:bCs/>
        </w:rPr>
        <w:t xml:space="preserve"> based on adult physical activity and screen time data</w:t>
      </w:r>
      <w:r w:rsidR="00075D9E" w:rsidRPr="00C43DBE">
        <w:rPr>
          <w:bCs/>
        </w:rPr>
        <w:t>.</w:t>
      </w:r>
    </w:p>
    <w:p w14:paraId="6A4EF14B" w14:textId="40064711" w:rsidR="001C6C6E" w:rsidRDefault="001C6C6E">
      <w:r w:rsidRPr="77E1198A">
        <w:rPr>
          <w:b/>
          <w:bCs/>
        </w:rPr>
        <w:t>‘Adult’ (from age 16 years as incorrectly used by SHeS) BMI Data</w:t>
      </w:r>
      <w:r w:rsidR="00C7505C">
        <w:rPr>
          <w:b/>
          <w:bCs/>
        </w:rPr>
        <w:t>:</w:t>
      </w:r>
      <w:r w:rsidR="00C7505C" w:rsidRPr="00C7505C">
        <w:rPr>
          <w:bCs/>
        </w:rPr>
        <w:t>More than 29% of all adults in Scotland have obesity according to their BMI.</w:t>
      </w:r>
      <w:r w:rsidR="00C7505C">
        <w:rPr>
          <w:b/>
          <w:bCs/>
        </w:rPr>
        <w:t xml:space="preserve"> </w:t>
      </w:r>
      <w:r w:rsidR="00C7505C">
        <w:t xml:space="preserve"> M</w:t>
      </w:r>
      <w:r>
        <w:t>ean BMI was &gt;27 in all age groups over 25. BMI and overweight and obesity prevalence are strongly socially patterned- much more prevalent in more deprived groups (though not reported specifically in SHeS 2019</w:t>
      </w:r>
      <w:r w:rsidR="00075D9E">
        <w:t>)</w:t>
      </w:r>
      <w:r>
        <w:t>.</w:t>
      </w:r>
    </w:p>
    <w:p w14:paraId="718BBAC9" w14:textId="77777777" w:rsidR="001C6C6E" w:rsidRPr="00C43DBE" w:rsidRDefault="001C6C6E">
      <w:r>
        <w:rPr>
          <w:b/>
        </w:rPr>
        <w:t xml:space="preserve">Adult Diet </w:t>
      </w:r>
      <w:r w:rsidRPr="00C43DBE">
        <w:t>(Meeting Fruit &amp; Vegetable intake recommendation): 22% prevalence overall and this was strongly socially patterned.</w:t>
      </w:r>
      <w:r w:rsidR="00075D9E" w:rsidRPr="00C43DBE">
        <w:t xml:space="preserve"> Parent and adult modelling of behaviour unfavourable.</w:t>
      </w:r>
    </w:p>
    <w:p w14:paraId="1889AA7B" w14:textId="781BED45" w:rsidR="001C6C6E" w:rsidRDefault="1A4DDE03" w:rsidP="77E1198A">
      <w:r w:rsidRPr="5EB6B264">
        <w:rPr>
          <w:b/>
          <w:bCs/>
        </w:rPr>
        <w:t xml:space="preserve">The Scottish Household Survey (2019) has two relevant sources of data: adult participation in sport and physical activity </w:t>
      </w:r>
      <w:r>
        <w:t xml:space="preserve">(around half of adults report </w:t>
      </w:r>
      <w:r w:rsidR="1B0C12F3">
        <w:t>participation in &gt;14 of the previous 28 days</w:t>
      </w:r>
      <w:r w:rsidR="134A8135">
        <w:t>; this includes walking</w:t>
      </w:r>
      <w:r w:rsidR="1B0C12F3">
        <w:t xml:space="preserve">) and this is significantly lower in </w:t>
      </w:r>
      <w:r w:rsidR="747C2149">
        <w:t xml:space="preserve">women, </w:t>
      </w:r>
      <w:r w:rsidR="1B0C12F3">
        <w:t>those from more socio-economically deprived groups, in older ad</w:t>
      </w:r>
      <w:r w:rsidR="06A78032">
        <w:t>ults, and in those with chronic disease</w:t>
      </w:r>
      <w:r w:rsidR="29BDC8B2">
        <w:t xml:space="preserve">; </w:t>
      </w:r>
      <w:r w:rsidR="29BDC8B2" w:rsidRPr="5EB6B264">
        <w:rPr>
          <w:b/>
          <w:bCs/>
        </w:rPr>
        <w:t>sport and physical activity volunteering</w:t>
      </w:r>
      <w:r w:rsidR="2181602A" w:rsidRPr="5EB6B264">
        <w:rPr>
          <w:b/>
          <w:bCs/>
        </w:rPr>
        <w:t>-</w:t>
      </w:r>
      <w:r w:rsidR="2181602A">
        <w:t xml:space="preserve">around 5% of adult men and 2% of adult women reported volunteering in sport and physical activity in the previous 12 months (volunteering is </w:t>
      </w:r>
      <w:r w:rsidR="4B3D8078">
        <w:t>less common amo</w:t>
      </w:r>
      <w:r w:rsidR="00C43DBE">
        <w:t>ng more socio-economically depri</w:t>
      </w:r>
      <w:r w:rsidR="4B3D8078">
        <w:t>ved adults).</w:t>
      </w:r>
    </w:p>
    <w:p w14:paraId="64C08874" w14:textId="31AE2AB5" w:rsidR="001C6C6E" w:rsidRDefault="001C6C6E" w:rsidP="00C43DBE">
      <w:pPr>
        <w:rPr>
          <w:b/>
          <w:bCs/>
          <w:highlight w:val="yellow"/>
        </w:rPr>
      </w:pPr>
    </w:p>
    <w:p w14:paraId="745DF517" w14:textId="5AC7B2CF" w:rsidR="001C6C6E" w:rsidRPr="008A2E85" w:rsidRDefault="00C43DBE" w:rsidP="77E1198A">
      <w:pPr>
        <w:rPr>
          <w:b/>
          <w:bCs/>
          <w:highlight w:val="yellow"/>
        </w:rPr>
      </w:pPr>
      <w:r w:rsidRPr="00C43DBE">
        <w:rPr>
          <w:b/>
        </w:rPr>
        <w:t>Draft Grade D-.</w:t>
      </w:r>
      <w:r>
        <w:t xml:space="preserve"> </w:t>
      </w:r>
      <w:r w:rsidR="001C6C6E">
        <w:t>The available data are somewhat limited</w:t>
      </w:r>
      <w:r w:rsidR="236E8620">
        <w:t xml:space="preserve"> and difficult to grade</w:t>
      </w:r>
      <w:r w:rsidR="001C6C6E">
        <w:t xml:space="preserve"> but show, as in previous report cards, that </w:t>
      </w:r>
      <w:r w:rsidR="0007796D">
        <w:t>children and adolescents in Scotland grow up in an environment which is characterised by</w:t>
      </w:r>
      <w:r w:rsidR="008A2E85">
        <w:t xml:space="preserve"> the following:</w:t>
      </w:r>
      <w:r w:rsidR="0007796D">
        <w:t xml:space="preserve"> low levels of physical activity, high levels of sedentary behaviour, in which overweight and obesity are the norm, and in which unhealthy diets are the norm.</w:t>
      </w:r>
      <w:r w:rsidR="5EF0F6EC">
        <w:t xml:space="preserve"> Since the 2018 Active Healthy Kids Report Card</w:t>
      </w:r>
      <w:r w:rsidR="008A2E85">
        <w:t>,</w:t>
      </w:r>
      <w:r w:rsidR="5EF0F6EC">
        <w:t xml:space="preserve"> new data have become available on meeting guidelines for musculoskeletal health, and on participation in sport and physical activity and volunteering- these data generally suggest</w:t>
      </w:r>
      <w:r w:rsidR="20341E61">
        <w:t xml:space="preserve"> that things are worse than they appeared in the 2018 report card (grade D). </w:t>
      </w:r>
      <w:r w:rsidR="0007796D">
        <w:t xml:space="preserve"> Moreover, </w:t>
      </w:r>
      <w:r w:rsidR="0007796D" w:rsidRPr="008A2E85">
        <w:rPr>
          <w:b/>
        </w:rPr>
        <w:t>the</w:t>
      </w:r>
      <w:r w:rsidR="00F43FA0" w:rsidRPr="008A2E85">
        <w:rPr>
          <w:b/>
        </w:rPr>
        <w:t xml:space="preserve">se aspects of the family environment are </w:t>
      </w:r>
      <w:r w:rsidR="0007796D" w:rsidRPr="008A2E85">
        <w:rPr>
          <w:b/>
        </w:rPr>
        <w:t>much less healthy in more deprived families</w:t>
      </w:r>
      <w:r w:rsidR="00F43FA0" w:rsidRPr="008A2E85">
        <w:rPr>
          <w:b/>
        </w:rPr>
        <w:t xml:space="preserve"> than in less deprived families</w:t>
      </w:r>
      <w:r w:rsidR="0007796D" w:rsidRPr="008A2E85">
        <w:rPr>
          <w:b/>
        </w:rPr>
        <w:t>.</w:t>
      </w:r>
    </w:p>
    <w:p w14:paraId="032208D1" w14:textId="01644524" w:rsidR="00F7712B" w:rsidRDefault="00F7712B">
      <w:r>
        <w:br w:type="page"/>
      </w:r>
    </w:p>
    <w:p w14:paraId="687D12F3" w14:textId="79BB75D2" w:rsidR="00F7712B" w:rsidRDefault="00F7712B" w:rsidP="00180B47">
      <w:pPr>
        <w:pStyle w:val="Heading1"/>
      </w:pPr>
      <w:bookmarkStart w:id="20" w:name="_Toc530040882"/>
      <w:bookmarkStart w:id="21" w:name="_Toc530040900"/>
      <w:bookmarkStart w:id="22" w:name="_Toc68789662"/>
      <w:r>
        <w:t xml:space="preserve">Indicator 10: Community and </w:t>
      </w:r>
      <w:bookmarkEnd w:id="20"/>
      <w:bookmarkEnd w:id="21"/>
      <w:bookmarkEnd w:id="22"/>
      <w:r w:rsidR="00A9610D">
        <w:t>Environment</w:t>
      </w:r>
    </w:p>
    <w:p w14:paraId="214CF47B" w14:textId="5B36D0A8" w:rsidR="00F7712B" w:rsidRDefault="00F7712B" w:rsidP="00F7712B">
      <w:pPr>
        <w:spacing w:line="240" w:lineRule="auto"/>
      </w:pPr>
      <w:r w:rsidRPr="00F96E1D">
        <w:rPr>
          <w:b/>
        </w:rPr>
        <w:t>Benchmark</w:t>
      </w:r>
      <w:r>
        <w:rPr>
          <w:b/>
        </w:rPr>
        <w:t xml:space="preserve"> </w:t>
      </w:r>
      <w:r w:rsidRPr="00C279D1">
        <w:rPr>
          <w:b/>
        </w:rPr>
        <w:t>(any of the following could be used to grade this indicator):</w:t>
      </w:r>
      <w:r>
        <w:rPr>
          <w:b/>
        </w:rPr>
        <w:t xml:space="preserve"> </w:t>
      </w:r>
      <w:r w:rsidRPr="00002886">
        <w:t>% of children or parents who perceive their community/ municipality is doing a good job at promoting physical activity (e.g., variety, location, cost, quality), % of communities/municipalities that report they have policies promoting physical activity, % of communities/municipalities that report they have infrastructure (e.g., sidewalks, trails, paths, bike lanes) specifically geared toward promoting physical activity, % of children or parents who report having facilities, programs, parks and playgrounds available to them in their community,</w:t>
      </w:r>
      <w:r w:rsidR="00C7505C" w:rsidRPr="00C7505C">
        <w:t xml:space="preserve"> </w:t>
      </w:r>
      <w:r w:rsidR="00C7505C">
        <w:t xml:space="preserve">% </w:t>
      </w:r>
      <w:r w:rsidR="00C7505C" w:rsidRPr="00002886">
        <w:t>of children or parents who report living in a safe neighbourhood where they can be physically active</w:t>
      </w:r>
      <w:r w:rsidR="00C7505C">
        <w:t>,</w:t>
      </w:r>
      <w:r w:rsidRPr="00002886">
        <w:t xml:space="preserve"> of children or parents who report having well-maintained facilities, parks and playgrounds in their community that are safe to use. </w:t>
      </w:r>
    </w:p>
    <w:p w14:paraId="564D9779" w14:textId="014207F4" w:rsidR="00A9610D" w:rsidRPr="00F9091E" w:rsidRDefault="00A9610D" w:rsidP="00A9610D">
      <w:pPr>
        <w:spacing w:line="240" w:lineRule="auto"/>
        <w:rPr>
          <w:color w:val="000000" w:themeColor="text1"/>
        </w:rPr>
      </w:pPr>
      <w:r>
        <w:rPr>
          <w:b/>
          <w:bCs/>
        </w:rPr>
        <w:t xml:space="preserve">Methods </w:t>
      </w:r>
      <w:r w:rsidRPr="00002886">
        <w:rPr>
          <w:b/>
          <w:bCs/>
        </w:rPr>
        <w:t xml:space="preserve">of </w:t>
      </w:r>
      <w:r w:rsidRPr="00F9091E">
        <w:rPr>
          <w:b/>
          <w:bCs/>
        </w:rPr>
        <w:t xml:space="preserve">measurement: </w:t>
      </w:r>
      <w:r w:rsidRPr="00F9091E">
        <w:t xml:space="preserve">This indicator refers to perceived safety, access to, and availability of outdoor/indoor spaces and opportunities for PA </w:t>
      </w:r>
      <w:r w:rsidRPr="00A9610D">
        <w:rPr>
          <w:i/>
        </w:rPr>
        <w:t>in the local community</w:t>
      </w:r>
      <w:r w:rsidRPr="00F9091E">
        <w:t xml:space="preserve">, not actual participation in active play, which is dealt with in indicator 4. </w:t>
      </w:r>
      <w:r>
        <w:rPr>
          <w:color w:val="000000" w:themeColor="text1"/>
        </w:rPr>
        <w:t>In previous report cards, the Scottish Household Survey has provided a reasonable estimate of this indicator through parental reported</w:t>
      </w:r>
      <w:r w:rsidRPr="00D9743A">
        <w:rPr>
          <w:color w:val="000000" w:themeColor="text1"/>
        </w:rPr>
        <w:t xml:space="preserve"> perceived safety, access to, and availability of </w:t>
      </w:r>
      <w:r>
        <w:rPr>
          <w:color w:val="000000" w:themeColor="text1"/>
        </w:rPr>
        <w:t xml:space="preserve">their children’s </w:t>
      </w:r>
      <w:r w:rsidRPr="00D9743A">
        <w:rPr>
          <w:color w:val="000000" w:themeColor="text1"/>
        </w:rPr>
        <w:t>play in their neighbourhood</w:t>
      </w:r>
      <w:r>
        <w:rPr>
          <w:color w:val="000000" w:themeColor="text1"/>
        </w:rPr>
        <w:t>. However, in recent versions of this survey these questions have been omitted</w:t>
      </w:r>
      <w:r w:rsidR="008A2E85">
        <w:rPr>
          <w:color w:val="000000" w:themeColor="text1"/>
        </w:rPr>
        <w:t>. The HBSC</w:t>
      </w:r>
      <w:r w:rsidR="0038537A">
        <w:rPr>
          <w:color w:val="000000" w:themeColor="text1"/>
        </w:rPr>
        <w:t xml:space="preserve"> study</w:t>
      </w:r>
      <w:r w:rsidR="00D35F07">
        <w:rPr>
          <w:color w:val="000000" w:themeColor="text1"/>
        </w:rPr>
        <w:t xml:space="preserve"> provided some data related to perceived safety which does meet the benchmark</w:t>
      </w:r>
      <w:r w:rsidR="00D11496">
        <w:rPr>
          <w:color w:val="000000" w:themeColor="text1"/>
        </w:rPr>
        <w:t xml:space="preserve">, however, this survey only captured one aspect of the benchmark </w:t>
      </w:r>
      <w:r w:rsidR="004115C4">
        <w:rPr>
          <w:color w:val="000000" w:themeColor="text1"/>
        </w:rPr>
        <w:t xml:space="preserve">and not other important factors. </w:t>
      </w:r>
      <w:r w:rsidR="00BD2BA8">
        <w:rPr>
          <w:color w:val="000000" w:themeColor="text1"/>
        </w:rPr>
        <w:t xml:space="preserve"> </w:t>
      </w:r>
    </w:p>
    <w:p w14:paraId="79B8D811" w14:textId="77777777" w:rsidR="00A9610D" w:rsidRDefault="00A9610D" w:rsidP="00A9610D">
      <w:pPr>
        <w:spacing w:line="240" w:lineRule="auto"/>
        <w:rPr>
          <w:color w:val="FF0000"/>
        </w:rPr>
      </w:pPr>
      <w:r w:rsidRPr="00002886">
        <w:rPr>
          <w:b/>
          <w:bCs/>
        </w:rPr>
        <w:t xml:space="preserve">Major Gaps in Scottish data: </w:t>
      </w:r>
      <w:r>
        <w:rPr>
          <w:color w:val="000000" w:themeColor="text1"/>
        </w:rPr>
        <w:t xml:space="preserve">As mentioned, we are not aware of any recently published surveys or studies that can give us an estimate of community and environment. Surveys have looked at frequency of use of outdoors and access to greenspace but these do not meet the benchmark.  </w:t>
      </w:r>
      <w:r w:rsidRPr="00BE6801">
        <w:rPr>
          <w:color w:val="000000" w:themeColor="text1"/>
        </w:rPr>
        <w:t xml:space="preserve">Furthermore, </w:t>
      </w:r>
      <w:r>
        <w:rPr>
          <w:color w:val="000000" w:themeColor="text1"/>
        </w:rPr>
        <w:t>these studies are based on self-report data and are likely to have some bias.</w:t>
      </w:r>
    </w:p>
    <w:p w14:paraId="7216B323" w14:textId="3DDB9AA9" w:rsidR="00C7505C" w:rsidRDefault="00A9610D" w:rsidP="008B29C8">
      <w:pPr>
        <w:spacing w:line="240" w:lineRule="auto"/>
      </w:pPr>
      <w:r w:rsidRPr="00A9610D">
        <w:t xml:space="preserve">Draft Grade: </w:t>
      </w:r>
      <w:r w:rsidR="00C7505C">
        <w:t xml:space="preserve"> Data from the 2018 Scottish report card was </w:t>
      </w:r>
      <w:r w:rsidR="008A2E85">
        <w:t xml:space="preserve">much </w:t>
      </w:r>
      <w:r w:rsidR="00C7505C">
        <w:t>more comprehensive than the data available for the 2020 card so this was used along with the newly available data to produce the draft grade of B-.</w:t>
      </w:r>
    </w:p>
    <w:p w14:paraId="05749C5B" w14:textId="162438C1" w:rsidR="004B33C5" w:rsidRPr="00C7505C" w:rsidRDefault="00F7712B" w:rsidP="008B29C8">
      <w:pPr>
        <w:spacing w:line="240" w:lineRule="auto"/>
      </w:pPr>
      <w:r w:rsidRPr="00C7505C">
        <w:rPr>
          <w:b/>
        </w:rPr>
        <w:t>Inequalities</w:t>
      </w:r>
      <w:r w:rsidRPr="00A9610D">
        <w:t xml:space="preserve">: </w:t>
      </w:r>
      <w:r w:rsidR="00E92CE6">
        <w:rPr>
          <w:color w:val="000000" w:themeColor="text1"/>
        </w:rPr>
        <w:t>A</w:t>
      </w:r>
      <w:r w:rsidRPr="00A9610D">
        <w:rPr>
          <w:color w:val="000000" w:themeColor="text1"/>
        </w:rPr>
        <w:t>dults w</w:t>
      </w:r>
      <w:r w:rsidR="00C7505C">
        <w:rPr>
          <w:color w:val="000000" w:themeColor="text1"/>
        </w:rPr>
        <w:t>ith a lower SIMD score reported</w:t>
      </w:r>
      <w:r w:rsidRPr="00A9610D">
        <w:rPr>
          <w:color w:val="000000" w:themeColor="text1"/>
        </w:rPr>
        <w:t xml:space="preserve"> less frequent visits to outdoors, and being a 5 minute walk or less to greenspace compared to those with a higher SIMD score</w:t>
      </w:r>
      <w:r w:rsidR="00D11496">
        <w:rPr>
          <w:color w:val="000000" w:themeColor="text1"/>
        </w:rPr>
        <w:t xml:space="preserve">. </w:t>
      </w:r>
      <w:r w:rsidR="00D11496" w:rsidRPr="00D11496">
        <w:rPr>
          <w:color w:val="000000" w:themeColor="text1"/>
        </w:rPr>
        <w:t>There were consistent inequalities in young people’s perceptions of their local neighbourhood</w:t>
      </w:r>
      <w:r w:rsidR="00C7505C">
        <w:rPr>
          <w:color w:val="000000" w:themeColor="text1"/>
        </w:rPr>
        <w:t xml:space="preserve"> e.g. from HBSC 2018</w:t>
      </w:r>
      <w:r w:rsidR="00D11496" w:rsidRPr="00D11496">
        <w:rPr>
          <w:color w:val="000000" w:themeColor="text1"/>
        </w:rPr>
        <w:t>. On all measures included, young people from the lowest SES group were more likely to report negative perceptions of their local area</w:t>
      </w:r>
      <w:r w:rsidR="00E92CE6">
        <w:rPr>
          <w:color w:val="000000" w:themeColor="text1"/>
        </w:rPr>
        <w:t xml:space="preserve"> </w:t>
      </w:r>
      <w:r w:rsidR="00A9610D" w:rsidRPr="00A9610D">
        <w:rPr>
          <w:color w:val="000000" w:themeColor="text1"/>
        </w:rPr>
        <w:t>.</w:t>
      </w:r>
    </w:p>
    <w:p w14:paraId="2DAE662C" w14:textId="1DC8045A" w:rsidR="004B33C5" w:rsidRDefault="004B33C5" w:rsidP="008B29C8">
      <w:pPr>
        <w:spacing w:line="240" w:lineRule="auto"/>
        <w:rPr>
          <w:b/>
          <w:color w:val="000000" w:themeColor="text1"/>
        </w:rPr>
      </w:pPr>
    </w:p>
    <w:p w14:paraId="1D5BBED9" w14:textId="18128D08" w:rsidR="00C7505C" w:rsidRDefault="00C7505C" w:rsidP="008B29C8">
      <w:pPr>
        <w:spacing w:line="240" w:lineRule="auto"/>
        <w:rPr>
          <w:b/>
          <w:color w:val="000000" w:themeColor="text1"/>
        </w:rPr>
      </w:pPr>
    </w:p>
    <w:p w14:paraId="1AB93603" w14:textId="561C05C0" w:rsidR="00C7505C" w:rsidRDefault="00C7505C" w:rsidP="008B29C8">
      <w:pPr>
        <w:spacing w:line="240" w:lineRule="auto"/>
        <w:rPr>
          <w:b/>
          <w:color w:val="000000" w:themeColor="text1"/>
        </w:rPr>
      </w:pPr>
    </w:p>
    <w:p w14:paraId="0C156D25" w14:textId="36F2CBE1" w:rsidR="00C7505C" w:rsidRDefault="00C7505C" w:rsidP="008B29C8">
      <w:pPr>
        <w:spacing w:line="240" w:lineRule="auto"/>
        <w:rPr>
          <w:b/>
          <w:color w:val="000000" w:themeColor="text1"/>
        </w:rPr>
      </w:pPr>
    </w:p>
    <w:p w14:paraId="1B843B60" w14:textId="7355C51B" w:rsidR="00C7505C" w:rsidRDefault="00C7505C" w:rsidP="008B29C8">
      <w:pPr>
        <w:spacing w:line="240" w:lineRule="auto"/>
        <w:rPr>
          <w:b/>
          <w:color w:val="000000" w:themeColor="text1"/>
        </w:rPr>
      </w:pPr>
    </w:p>
    <w:p w14:paraId="3C778E1A" w14:textId="517597A6" w:rsidR="00C7505C" w:rsidRDefault="00C7505C" w:rsidP="008B29C8">
      <w:pPr>
        <w:spacing w:line="240" w:lineRule="auto"/>
        <w:rPr>
          <w:b/>
          <w:color w:val="000000" w:themeColor="text1"/>
        </w:rPr>
      </w:pPr>
    </w:p>
    <w:p w14:paraId="4327FEBF" w14:textId="3543942F" w:rsidR="00C7505C" w:rsidRPr="00A9610D" w:rsidRDefault="00C7505C" w:rsidP="00C7505C">
      <w:pPr>
        <w:rPr>
          <w:b/>
          <w:color w:val="000000" w:themeColor="text1"/>
        </w:rPr>
      </w:pPr>
      <w:r>
        <w:rPr>
          <w:b/>
          <w:color w:val="000000" w:themeColor="text1"/>
        </w:rPr>
        <w:br w:type="page"/>
      </w:r>
    </w:p>
    <w:p w14:paraId="1E009022" w14:textId="1050C1EB" w:rsidR="00A011F7" w:rsidRDefault="00180B47" w:rsidP="00180B47">
      <w:pPr>
        <w:pStyle w:val="Heading1"/>
      </w:pPr>
      <w:bookmarkStart w:id="23" w:name="_Toc68789663"/>
      <w:r>
        <w:t>Indicator</w:t>
      </w:r>
      <w:bookmarkEnd w:id="23"/>
      <w:r w:rsidR="00A63896">
        <w:t xml:space="preserve"> 11 Government (P</w:t>
      </w:r>
      <w:r w:rsidR="00CA743F">
        <w:t>hysical activity</w:t>
      </w:r>
      <w:r w:rsidR="00623DCF">
        <w:t xml:space="preserve"> and Diet</w:t>
      </w:r>
      <w:r w:rsidR="00CA743F">
        <w:t>)</w:t>
      </w:r>
    </w:p>
    <w:p w14:paraId="76E72B46" w14:textId="07813067" w:rsidR="001F1F3C" w:rsidRPr="001A01DC" w:rsidRDefault="001F1F3C" w:rsidP="001F1F3C">
      <w:pPr>
        <w:spacing w:before="100" w:beforeAutospacing="1" w:after="100" w:afterAutospacing="1"/>
        <w:rPr>
          <w:rFonts w:ascii="Calibri" w:hAnsi="Calibri" w:cs="Calibri"/>
          <w:b/>
          <w:bCs/>
        </w:rPr>
      </w:pPr>
      <w:r w:rsidRPr="00CF0354">
        <w:rPr>
          <w:rFonts w:ascii="Calibri" w:hAnsi="Calibri" w:cs="Calibri"/>
          <w:b/>
          <w:bCs/>
        </w:rPr>
        <w:t xml:space="preserve">Benchmark: </w:t>
      </w:r>
      <w:r w:rsidRPr="00CF0354">
        <w:rPr>
          <w:rFonts w:ascii="Calibri" w:hAnsi="Calibri" w:cs="Calibri"/>
        </w:rPr>
        <w:t xml:space="preserve">a) Evidence of leadership and commitment in providing physical activity </w:t>
      </w:r>
      <w:r w:rsidR="00623DCF">
        <w:rPr>
          <w:rFonts w:ascii="Calibri" w:hAnsi="Calibri" w:cs="Calibri"/>
        </w:rPr>
        <w:t xml:space="preserve">and improved diet </w:t>
      </w:r>
      <w:r w:rsidRPr="00CF0354">
        <w:rPr>
          <w:rFonts w:ascii="Calibri" w:hAnsi="Calibri" w:cs="Calibri"/>
        </w:rPr>
        <w:t>opportunities for all children and youth; b) allocated funds and resources for the implementation of physical activity</w:t>
      </w:r>
      <w:r w:rsidR="004263B7">
        <w:rPr>
          <w:rFonts w:ascii="Calibri" w:hAnsi="Calibri" w:cs="Calibri"/>
        </w:rPr>
        <w:t>/diet</w:t>
      </w:r>
      <w:r w:rsidRPr="00CF0354">
        <w:rPr>
          <w:rFonts w:ascii="Calibri" w:hAnsi="Calibri" w:cs="Calibri"/>
        </w:rPr>
        <w:t xml:space="preserve"> promotion strategies and initiatives for all children and youth; c) Demonstrated progress through the key stages of public policy making (i.e., policy agenda, policy formation, policy implementation, policy evaluation and decisions about the future)</w:t>
      </w:r>
      <w:r w:rsidR="004263B7">
        <w:rPr>
          <w:rFonts w:ascii="Calibri" w:hAnsi="Calibri" w:cs="Calibri"/>
        </w:rPr>
        <w:t xml:space="preserve"> in relation to diet and physical activity</w:t>
      </w:r>
      <w:r w:rsidRPr="00CF0354">
        <w:rPr>
          <w:rFonts w:ascii="Calibri" w:hAnsi="Calibri" w:cs="Calibri"/>
        </w:rPr>
        <w:t xml:space="preserve">. </w:t>
      </w:r>
    </w:p>
    <w:p w14:paraId="6D90BCE3" w14:textId="415521EB" w:rsidR="001F1F3C" w:rsidRDefault="001F1F3C" w:rsidP="001F1F3C">
      <w:pPr>
        <w:spacing w:before="100" w:beforeAutospacing="1" w:after="100" w:afterAutospacing="1"/>
        <w:rPr>
          <w:rFonts w:ascii="Calibri" w:hAnsi="Calibri" w:cs="Calibri"/>
          <w:b/>
          <w:bCs/>
        </w:rPr>
      </w:pPr>
      <w:r w:rsidRPr="00CF0354">
        <w:rPr>
          <w:rFonts w:ascii="Calibri" w:hAnsi="Calibri" w:cs="Calibri"/>
          <w:b/>
          <w:bCs/>
        </w:rPr>
        <w:t xml:space="preserve">Major gaps for this indicator: </w:t>
      </w:r>
      <w:r w:rsidR="00C7505C">
        <w:rPr>
          <w:rFonts w:ascii="Calibri" w:hAnsi="Calibri" w:cs="Calibri"/>
        </w:rPr>
        <w:t>Despite</w:t>
      </w:r>
      <w:r w:rsidR="00E6706C">
        <w:rPr>
          <w:rFonts w:ascii="Calibri" w:hAnsi="Calibri" w:cs="Calibri"/>
        </w:rPr>
        <w:t xml:space="preserve"> numerous policy documents, action plans and strategies, more information is required (or needs to be detailed) regarding monitoring, evaluating, funding, and reporting on prog</w:t>
      </w:r>
      <w:r w:rsidR="00C7505C">
        <w:rPr>
          <w:rFonts w:ascii="Calibri" w:hAnsi="Calibri" w:cs="Calibri"/>
        </w:rPr>
        <w:t>ress (i.e., impact) of policies</w:t>
      </w:r>
    </w:p>
    <w:p w14:paraId="41155B3E" w14:textId="4AB35DAC" w:rsidR="00B268E2" w:rsidRPr="00374A2C" w:rsidRDefault="00C7505C" w:rsidP="00B268E2">
      <w:pPr>
        <w:rPr>
          <w:rFonts w:ascii="Calibri" w:hAnsi="Calibri" w:cs="Calibri"/>
          <w:b/>
          <w:bCs/>
        </w:rPr>
      </w:pPr>
      <w:r>
        <w:rPr>
          <w:rFonts w:ascii="Calibri" w:hAnsi="Calibri" w:cs="Calibri"/>
          <w:b/>
        </w:rPr>
        <w:t xml:space="preserve">Grading: </w:t>
      </w:r>
      <w:r w:rsidR="00B268E2" w:rsidRPr="00374A2C">
        <w:rPr>
          <w:rFonts w:ascii="Calibri" w:hAnsi="Calibri" w:cs="Calibri"/>
        </w:rPr>
        <w:t xml:space="preserve">The grade for the government indicator determined using the Policy Audit Tool Version 2 (PAT v2) that was initially developed by </w:t>
      </w:r>
      <w:r w:rsidR="00B268E2" w:rsidRPr="00CF0354">
        <w:rPr>
          <w:rFonts w:ascii="Calibri" w:hAnsi="Calibri" w:cs="Calibri"/>
          <w:color w:val="000000"/>
        </w:rPr>
        <w:t xml:space="preserve">HEPA </w:t>
      </w:r>
      <w:r w:rsidR="00B268E2" w:rsidRPr="00374A2C">
        <w:rPr>
          <w:rFonts w:ascii="Calibri" w:hAnsi="Calibri" w:cs="Calibri"/>
          <w:color w:val="000000"/>
        </w:rPr>
        <w:t>Europe and has since been used by the Welsh Report Card team (</w:t>
      </w:r>
      <w:r w:rsidR="00B268E2" w:rsidRPr="00374A2C">
        <w:rPr>
          <w:rFonts w:ascii="Calibri" w:hAnsi="Calibri" w:cs="Calibri"/>
        </w:rPr>
        <w:t xml:space="preserve">Ward et al., 2020). See </w:t>
      </w:r>
      <w:r w:rsidR="00B268E2" w:rsidRPr="00C7505C">
        <w:rPr>
          <w:rFonts w:ascii="Calibri" w:hAnsi="Calibri" w:cs="Calibri"/>
        </w:rPr>
        <w:t>Tables 7.1, 7.2 and 7.3</w:t>
      </w:r>
      <w:r w:rsidR="00C24611" w:rsidRPr="00C7505C">
        <w:rPr>
          <w:rFonts w:ascii="Calibri" w:hAnsi="Calibri" w:cs="Calibri"/>
        </w:rPr>
        <w:t xml:space="preserve"> for more information about how the Government indicator was graded.</w:t>
      </w:r>
    </w:p>
    <w:p w14:paraId="64AB3CBC" w14:textId="4CDC12D6" w:rsidR="001F1F3C" w:rsidRDefault="001F1F3C" w:rsidP="001F1F3C">
      <w:pPr>
        <w:spacing w:before="100" w:beforeAutospacing="1" w:after="100" w:afterAutospacing="1"/>
        <w:rPr>
          <w:rFonts w:ascii="Calibri" w:hAnsi="Calibri" w:cs="Calibri"/>
          <w:color w:val="000000" w:themeColor="text1"/>
        </w:rPr>
      </w:pPr>
      <w:r w:rsidRPr="00472A9D">
        <w:rPr>
          <w:rFonts w:ascii="Calibri" w:hAnsi="Calibri" w:cs="Calibri"/>
          <w:color w:val="000000" w:themeColor="text1"/>
        </w:rPr>
        <w:t>Scotland ha</w:t>
      </w:r>
      <w:r w:rsidR="00E6706C">
        <w:rPr>
          <w:rFonts w:ascii="Calibri" w:hAnsi="Calibri" w:cs="Calibri"/>
          <w:color w:val="000000" w:themeColor="text1"/>
        </w:rPr>
        <w:t>s</w:t>
      </w:r>
      <w:r w:rsidRPr="00472A9D">
        <w:rPr>
          <w:rFonts w:ascii="Calibri" w:hAnsi="Calibri" w:cs="Calibri"/>
          <w:color w:val="000000" w:themeColor="text1"/>
        </w:rPr>
        <w:t xml:space="preserve"> many creditable policies at the national level and overall, there appears to be many good links made between the policies and organisations </w:t>
      </w:r>
      <w:r w:rsidR="00E6706C">
        <w:rPr>
          <w:rFonts w:ascii="Calibri" w:hAnsi="Calibri" w:cs="Calibri"/>
          <w:color w:val="000000" w:themeColor="text1"/>
        </w:rPr>
        <w:t xml:space="preserve">accountable </w:t>
      </w:r>
      <w:r w:rsidRPr="00472A9D">
        <w:rPr>
          <w:rFonts w:ascii="Calibri" w:hAnsi="Calibri" w:cs="Calibri"/>
          <w:color w:val="000000" w:themeColor="text1"/>
        </w:rPr>
        <w:t>for implementation</w:t>
      </w:r>
      <w:r>
        <w:rPr>
          <w:rFonts w:ascii="Calibri" w:hAnsi="Calibri" w:cs="Calibri"/>
          <w:color w:val="000000" w:themeColor="text1"/>
        </w:rPr>
        <w:t xml:space="preserve">. </w:t>
      </w:r>
      <w:r w:rsidRPr="00247996">
        <w:rPr>
          <w:rFonts w:ascii="Calibri" w:hAnsi="Calibri" w:cs="Calibri"/>
          <w:color w:val="000000" w:themeColor="text1"/>
        </w:rPr>
        <w:t xml:space="preserve">There appears to be some level of implementation following on from the </w:t>
      </w:r>
      <w:r w:rsidRPr="00247996">
        <w:rPr>
          <w:rFonts w:ascii="Calibri" w:hAnsi="Calibri" w:cs="Calibri"/>
          <w:b/>
          <w:bCs/>
          <w:color w:val="000000" w:themeColor="text1"/>
        </w:rPr>
        <w:t xml:space="preserve">Active Scotland Delivery Plan </w:t>
      </w:r>
      <w:r w:rsidRPr="00247996">
        <w:rPr>
          <w:rFonts w:ascii="Calibri" w:hAnsi="Calibri" w:cs="Calibri"/>
          <w:color w:val="000000" w:themeColor="text1"/>
        </w:rPr>
        <w:t xml:space="preserve">published in July 2018. The Public Health Scotland website highlights ‘National actions’ that support the Scottish Government’s priority to have a more active Scotland and directs users to strategies to increase/improve physical activity in Scotland. </w:t>
      </w:r>
      <w:r w:rsidR="00B268E2">
        <w:rPr>
          <w:rFonts w:ascii="Calibri" w:hAnsi="Calibri" w:cs="Calibri"/>
        </w:rPr>
        <w:t>I</w:t>
      </w:r>
      <w:r w:rsidR="001775A4">
        <w:rPr>
          <w:rFonts w:ascii="Calibri" w:hAnsi="Calibri" w:cs="Calibri"/>
        </w:rPr>
        <w:t xml:space="preserve">n Scotland, physical activity in children is both a priority for health and wellbeing as well as </w:t>
      </w:r>
      <w:r w:rsidRPr="00247996">
        <w:rPr>
          <w:rFonts w:ascii="Calibri" w:hAnsi="Calibri" w:cs="Calibri"/>
          <w:color w:val="000000" w:themeColor="text1"/>
        </w:rPr>
        <w:t>a key means for Scotland to reach their goals of carbon neutral in the future</w:t>
      </w:r>
      <w:r w:rsidR="001775A4">
        <w:rPr>
          <w:rFonts w:ascii="Calibri" w:hAnsi="Calibri" w:cs="Calibri"/>
          <w:color w:val="000000" w:themeColor="text1"/>
        </w:rPr>
        <w:t xml:space="preserve"> </w:t>
      </w:r>
      <w:r w:rsidR="001775A4" w:rsidRPr="00247996">
        <w:rPr>
          <w:rFonts w:ascii="Calibri" w:hAnsi="Calibri" w:cs="Calibri"/>
          <w:color w:val="000000" w:themeColor="text1"/>
        </w:rPr>
        <w:t>(through increased walking and cycling</w:t>
      </w:r>
      <w:r w:rsidR="001775A4">
        <w:rPr>
          <w:rFonts w:ascii="Calibri" w:hAnsi="Calibri" w:cs="Calibri"/>
          <w:color w:val="000000" w:themeColor="text1"/>
        </w:rPr>
        <w:t>, or</w:t>
      </w:r>
      <w:r w:rsidR="001775A4" w:rsidRPr="00247996">
        <w:rPr>
          <w:rFonts w:ascii="Calibri" w:hAnsi="Calibri" w:cs="Calibri"/>
          <w:color w:val="000000" w:themeColor="text1"/>
        </w:rPr>
        <w:t xml:space="preserve"> active travel)</w:t>
      </w:r>
      <w:r w:rsidRPr="00247996">
        <w:rPr>
          <w:rFonts w:ascii="Calibri" w:hAnsi="Calibri" w:cs="Calibri"/>
          <w:color w:val="000000" w:themeColor="text1"/>
        </w:rPr>
        <w:t>.</w:t>
      </w:r>
      <w:r w:rsidR="00B268E2">
        <w:rPr>
          <w:rFonts w:ascii="Calibri" w:hAnsi="Calibri" w:cs="Calibri"/>
          <w:color w:val="000000" w:themeColor="text1"/>
        </w:rPr>
        <w:t xml:space="preserve"> </w:t>
      </w:r>
      <w:r w:rsidR="00B268E2" w:rsidRPr="00B268E2">
        <w:rPr>
          <w:rFonts w:ascii="Calibri" w:hAnsi="Calibri" w:cs="Calibri"/>
          <w:color w:val="000000" w:themeColor="text1"/>
        </w:rPr>
        <w:t>The National Walking Strategy</w:t>
      </w:r>
      <w:r w:rsidR="00B268E2">
        <w:rPr>
          <w:rFonts w:ascii="Calibri" w:hAnsi="Calibri" w:cs="Calibri"/>
          <w:color w:val="000000" w:themeColor="text1"/>
        </w:rPr>
        <w:t xml:space="preserve"> (</w:t>
      </w:r>
      <w:r w:rsidR="00B268E2" w:rsidRPr="00B268E2">
        <w:rPr>
          <w:rFonts w:ascii="Calibri" w:hAnsi="Calibri" w:cs="Calibri"/>
          <w:color w:val="000000" w:themeColor="text1"/>
        </w:rPr>
        <w:t>Let’s get Scotland Walking</w:t>
      </w:r>
      <w:r w:rsidR="00B268E2">
        <w:rPr>
          <w:rFonts w:ascii="Calibri" w:hAnsi="Calibri" w:cs="Calibri"/>
          <w:color w:val="000000" w:themeColor="text1"/>
        </w:rPr>
        <w:t xml:space="preserve">) is a clear example of </w:t>
      </w:r>
      <w:r w:rsidR="00C24611">
        <w:rPr>
          <w:rFonts w:ascii="Calibri" w:hAnsi="Calibri" w:cs="Calibri"/>
          <w:color w:val="000000" w:themeColor="text1"/>
        </w:rPr>
        <w:t>a policy document that emphasises the importance of physical activity for both of these reasons</w:t>
      </w:r>
      <w:r w:rsidR="00B268E2">
        <w:rPr>
          <w:rFonts w:ascii="Calibri" w:hAnsi="Calibri" w:cs="Calibri"/>
          <w:color w:val="000000" w:themeColor="text1"/>
        </w:rPr>
        <w:t>.</w:t>
      </w:r>
      <w:r w:rsidR="00B268E2" w:rsidRPr="00B268E2">
        <w:rPr>
          <w:rFonts w:ascii="Calibri" w:hAnsi="Calibri" w:cs="Calibri"/>
          <w:color w:val="000000" w:themeColor="text1"/>
        </w:rPr>
        <w:t xml:space="preserve"> </w:t>
      </w:r>
      <w:r w:rsidR="00B268E2" w:rsidRPr="00247996">
        <w:rPr>
          <w:rFonts w:ascii="Calibri" w:hAnsi="Calibri" w:cs="Calibri"/>
          <w:color w:val="000000" w:themeColor="text1"/>
        </w:rPr>
        <w:t>This shows a lot of promise for the future</w:t>
      </w:r>
      <w:r w:rsidR="00B268E2">
        <w:rPr>
          <w:rFonts w:ascii="Calibri" w:hAnsi="Calibri" w:cs="Calibri"/>
          <w:color w:val="000000" w:themeColor="text1"/>
        </w:rPr>
        <w:t xml:space="preserve"> of children (as people of all ages) in Scotland</w:t>
      </w:r>
      <w:r w:rsidR="00B268E2" w:rsidRPr="00247996">
        <w:rPr>
          <w:rFonts w:ascii="Calibri" w:hAnsi="Calibri" w:cs="Calibri"/>
          <w:color w:val="000000" w:themeColor="text1"/>
        </w:rPr>
        <w:t>.</w:t>
      </w:r>
      <w:r w:rsidRPr="00247996">
        <w:rPr>
          <w:rFonts w:ascii="Calibri" w:hAnsi="Calibri" w:cs="Calibri"/>
          <w:color w:val="000000" w:themeColor="text1"/>
        </w:rPr>
        <w:t xml:space="preserve"> </w:t>
      </w:r>
      <w:r w:rsidR="00B268E2">
        <w:rPr>
          <w:rFonts w:ascii="Calibri" w:hAnsi="Calibri" w:cs="Calibri"/>
          <w:color w:val="000000" w:themeColor="text1"/>
        </w:rPr>
        <w:t>Additionally, u</w:t>
      </w:r>
      <w:r w:rsidRPr="00247996">
        <w:rPr>
          <w:rFonts w:ascii="Calibri" w:hAnsi="Calibri" w:cs="Calibri"/>
          <w:color w:val="000000" w:themeColor="text1"/>
        </w:rPr>
        <w:t>nder the current political administration, there has been substantial investment in local partners to support active travel across Scotland</w:t>
      </w:r>
      <w:r w:rsidR="00B268E2">
        <w:rPr>
          <w:rFonts w:ascii="Calibri" w:hAnsi="Calibri" w:cs="Calibri"/>
          <w:color w:val="000000" w:themeColor="text1"/>
        </w:rPr>
        <w:t>; c</w:t>
      </w:r>
      <w:r w:rsidRPr="00D011F2">
        <w:rPr>
          <w:rFonts w:ascii="Calibri" w:hAnsi="Calibri" w:cs="Calibri"/>
          <w:color w:val="000000" w:themeColor="text1"/>
        </w:rPr>
        <w:t xml:space="preserve">hildren are a priority in </w:t>
      </w:r>
      <w:r w:rsidR="00B268E2">
        <w:rPr>
          <w:rFonts w:ascii="Calibri" w:hAnsi="Calibri" w:cs="Calibri"/>
          <w:color w:val="000000" w:themeColor="text1"/>
        </w:rPr>
        <w:t>these</w:t>
      </w:r>
      <w:r w:rsidR="00B268E2" w:rsidRPr="00D011F2">
        <w:rPr>
          <w:rFonts w:ascii="Calibri" w:hAnsi="Calibri" w:cs="Calibri"/>
          <w:color w:val="000000" w:themeColor="text1"/>
        </w:rPr>
        <w:t xml:space="preserve"> </w:t>
      </w:r>
      <w:r w:rsidRPr="00D011F2">
        <w:rPr>
          <w:rFonts w:ascii="Calibri" w:hAnsi="Calibri" w:cs="Calibri"/>
          <w:color w:val="000000" w:themeColor="text1"/>
        </w:rPr>
        <w:t xml:space="preserve">plans. </w:t>
      </w:r>
    </w:p>
    <w:p w14:paraId="6EE320F1" w14:textId="1B6EC8F2" w:rsidR="00C24611" w:rsidRPr="00D011F2" w:rsidRDefault="00C24611" w:rsidP="001F1F3C">
      <w:pPr>
        <w:spacing w:before="100" w:beforeAutospacing="1" w:after="100" w:afterAutospacing="1"/>
        <w:rPr>
          <w:rFonts w:ascii="Calibri" w:hAnsi="Calibri" w:cs="Calibri"/>
          <w:color w:val="000000" w:themeColor="text1"/>
        </w:rPr>
      </w:pPr>
      <w:r>
        <w:rPr>
          <w:rFonts w:ascii="Calibri" w:hAnsi="Calibri" w:cs="Calibri"/>
          <w:color w:val="000000" w:themeColor="text1"/>
        </w:rPr>
        <w:t xml:space="preserve">In addition to this, it is worth noting that physical activity is also explicitly mentioned, in addition to diet, to help reduce the rates of overweight and obesity in children. </w:t>
      </w:r>
      <w:r w:rsidR="00E6706C">
        <w:rPr>
          <w:rFonts w:ascii="Calibri" w:hAnsi="Calibri" w:cs="Calibri"/>
          <w:color w:val="000000" w:themeColor="text1"/>
        </w:rPr>
        <w:t xml:space="preserve">Based on the results of the previous Scottish report cards as well as this report card, this is warranted. </w:t>
      </w:r>
    </w:p>
    <w:p w14:paraId="4C52FB17" w14:textId="77777777" w:rsidR="001F1F3C" w:rsidRPr="00CF0354" w:rsidRDefault="001F1F3C" w:rsidP="001F1F3C">
      <w:pPr>
        <w:spacing w:before="100" w:beforeAutospacing="1" w:after="100" w:afterAutospacing="1"/>
        <w:rPr>
          <w:rFonts w:ascii="Calibri" w:hAnsi="Calibri" w:cs="Calibri"/>
        </w:rPr>
      </w:pPr>
      <w:r w:rsidRPr="00CF0354">
        <w:rPr>
          <w:rFonts w:ascii="Calibri" w:hAnsi="Calibri" w:cs="Calibri"/>
          <w:b/>
          <w:bCs/>
        </w:rPr>
        <w:t xml:space="preserve">The benchmark is in three parts and we have commented on each below: </w:t>
      </w:r>
    </w:p>
    <w:p w14:paraId="26777AE6" w14:textId="77777777" w:rsidR="001F1F3C" w:rsidRDefault="001F1F3C" w:rsidP="001F1F3C">
      <w:pPr>
        <w:spacing w:before="100" w:beforeAutospacing="1" w:after="100" w:afterAutospacing="1"/>
        <w:rPr>
          <w:rFonts w:ascii="Calibri" w:hAnsi="Calibri" w:cs="Calibri"/>
          <w:b/>
          <w:bCs/>
        </w:rPr>
      </w:pPr>
      <w:r w:rsidRPr="00CF0354">
        <w:rPr>
          <w:rFonts w:ascii="Calibri" w:hAnsi="Calibri" w:cs="Calibri"/>
          <w:b/>
          <w:bCs/>
        </w:rPr>
        <w:t xml:space="preserve">a)  Evidence of leadership and commitment to providing PA opportunities for all children &amp; youth. </w:t>
      </w:r>
    </w:p>
    <w:p w14:paraId="50B27F5A" w14:textId="1F240897" w:rsidR="001F1F3C" w:rsidRPr="002C7F6C" w:rsidRDefault="001F1F3C" w:rsidP="001F1F3C">
      <w:pPr>
        <w:spacing w:before="100" w:beforeAutospacing="1" w:after="100" w:afterAutospacing="1"/>
        <w:rPr>
          <w:rFonts w:ascii="Calibri" w:hAnsi="Calibri" w:cs="Calibri"/>
          <w:i/>
          <w:iCs/>
        </w:rPr>
      </w:pPr>
      <w:r w:rsidRPr="00B9652C">
        <w:rPr>
          <w:rFonts w:ascii="Calibri" w:hAnsi="Calibri" w:cs="Calibri"/>
          <w:i/>
          <w:iCs/>
        </w:rPr>
        <w:t xml:space="preserve">The text above suggest that we have achieved some success in Scotland – </w:t>
      </w:r>
      <w:r>
        <w:rPr>
          <w:rFonts w:ascii="Calibri" w:hAnsi="Calibri" w:cs="Calibri"/>
          <w:i/>
          <w:iCs/>
        </w:rPr>
        <w:t>p</w:t>
      </w:r>
      <w:r w:rsidRPr="00B9652C">
        <w:rPr>
          <w:rFonts w:ascii="Calibri" w:hAnsi="Calibri" w:cs="Calibri"/>
          <w:i/>
          <w:iCs/>
        </w:rPr>
        <w:t xml:space="preserve">hysical activity (for </w:t>
      </w:r>
      <w:r w:rsidR="00B268E2">
        <w:rPr>
          <w:rFonts w:ascii="Calibri" w:hAnsi="Calibri" w:cs="Calibri"/>
          <w:i/>
          <w:iCs/>
        </w:rPr>
        <w:t>people of all ages</w:t>
      </w:r>
      <w:r w:rsidRPr="00B9652C">
        <w:rPr>
          <w:rFonts w:ascii="Calibri" w:hAnsi="Calibri" w:cs="Calibri"/>
          <w:i/>
          <w:iCs/>
        </w:rPr>
        <w:t>) is high on the list of priorities</w:t>
      </w:r>
      <w:r w:rsidR="00B268E2">
        <w:rPr>
          <w:rFonts w:ascii="Calibri" w:hAnsi="Calibri" w:cs="Calibri"/>
          <w:i/>
          <w:iCs/>
        </w:rPr>
        <w:t xml:space="preserve"> as an outcome (for better health and wellbeing) and as a means to achieve other priorities</w:t>
      </w:r>
      <w:r w:rsidRPr="00B9652C">
        <w:rPr>
          <w:rFonts w:ascii="Calibri" w:hAnsi="Calibri" w:cs="Calibri"/>
          <w:i/>
          <w:iCs/>
        </w:rPr>
        <w:t xml:space="preserve"> and there are many relevant policies/strategies/targets in place, and these are well-informed. </w:t>
      </w:r>
    </w:p>
    <w:p w14:paraId="6ACC8991" w14:textId="77777777" w:rsidR="001F1F3C" w:rsidRDefault="001F1F3C" w:rsidP="001F1F3C">
      <w:pPr>
        <w:spacing w:before="100" w:beforeAutospacing="1" w:after="100" w:afterAutospacing="1"/>
        <w:rPr>
          <w:rFonts w:ascii="Calibri" w:hAnsi="Calibri" w:cs="Calibri"/>
          <w:b/>
          <w:bCs/>
        </w:rPr>
      </w:pPr>
      <w:r w:rsidRPr="00CF0354">
        <w:rPr>
          <w:rFonts w:ascii="Calibri" w:hAnsi="Calibri" w:cs="Calibri"/>
          <w:b/>
          <w:bCs/>
        </w:rPr>
        <w:t xml:space="preserve">b)  Allocated funds and resources for the implementation of PA promotion strategies and initiatives for all children &amp; youth. </w:t>
      </w:r>
    </w:p>
    <w:p w14:paraId="43C672C4" w14:textId="5151BAB0" w:rsidR="001F1F3C" w:rsidRPr="00B9652C" w:rsidRDefault="001F1F3C" w:rsidP="001F1F3C">
      <w:pPr>
        <w:spacing w:before="100" w:beforeAutospacing="1" w:after="100" w:afterAutospacing="1"/>
        <w:rPr>
          <w:rFonts w:ascii="Calibri" w:hAnsi="Calibri" w:cs="Calibri"/>
          <w:i/>
          <w:iCs/>
        </w:rPr>
      </w:pPr>
      <w:r w:rsidRPr="003D0C0B">
        <w:rPr>
          <w:rFonts w:ascii="Calibri" w:hAnsi="Calibri" w:cs="Calibri"/>
          <w:i/>
          <w:iCs/>
        </w:rPr>
        <w:t>Funding has been allocated to/dedicated to several causes that should have a positive impact on</w:t>
      </w:r>
      <w:r>
        <w:rPr>
          <w:rFonts w:ascii="Calibri" w:hAnsi="Calibri" w:cs="Calibri"/>
          <w:i/>
          <w:iCs/>
        </w:rPr>
        <w:t xml:space="preserve"> children’s physical activity but largely through </w:t>
      </w:r>
      <w:r w:rsidRPr="00C7505C">
        <w:rPr>
          <w:rFonts w:ascii="Calibri" w:hAnsi="Calibri" w:cs="Calibri"/>
          <w:i/>
          <w:iCs/>
        </w:rPr>
        <w:t>active travel</w:t>
      </w:r>
      <w:r>
        <w:rPr>
          <w:rFonts w:ascii="Calibri" w:hAnsi="Calibri" w:cs="Calibri"/>
          <w:i/>
          <w:iCs/>
        </w:rPr>
        <w:t xml:space="preserve"> (e.g., </w:t>
      </w:r>
      <w:hyperlink r:id="rId20" w:history="1">
        <w:r w:rsidRPr="002C7F6C">
          <w:rPr>
            <w:rStyle w:val="Hyperlink"/>
            <w:rFonts w:ascii="Calibri" w:hAnsi="Calibri" w:cs="Calibri"/>
            <w:i/>
            <w:iCs/>
          </w:rPr>
          <w:t>£27m for active travel</w:t>
        </w:r>
      </w:hyperlink>
      <w:r>
        <w:rPr>
          <w:rFonts w:ascii="Calibri" w:hAnsi="Calibri" w:cs="Calibri"/>
          <w:i/>
          <w:iCs/>
        </w:rPr>
        <w:t xml:space="preserve"> in October 2019, </w:t>
      </w:r>
      <w:hyperlink r:id="rId21" w:history="1">
        <w:r w:rsidRPr="002C7F6C">
          <w:rPr>
            <w:rStyle w:val="Hyperlink"/>
            <w:rFonts w:ascii="Calibri" w:hAnsi="Calibri" w:cs="Calibri"/>
            <w:i/>
            <w:iCs/>
          </w:rPr>
          <w:t>Transport Scotland</w:t>
        </w:r>
      </w:hyperlink>
      <w:r>
        <w:rPr>
          <w:rFonts w:ascii="Calibri" w:hAnsi="Calibri" w:cs="Calibri"/>
          <w:i/>
          <w:iCs/>
        </w:rPr>
        <w:t xml:space="preserve"> creating a £1m fund for sustainable travel in February 2019, </w:t>
      </w:r>
      <w:hyperlink r:id="rId22" w:history="1">
        <w:r w:rsidRPr="002C7F6C">
          <w:rPr>
            <w:rStyle w:val="Hyperlink"/>
            <w:rFonts w:ascii="Calibri" w:hAnsi="Calibri" w:cs="Calibri"/>
            <w:i/>
            <w:iCs/>
          </w:rPr>
          <w:t>£81k funding for cycle training in children</w:t>
        </w:r>
      </w:hyperlink>
      <w:r>
        <w:rPr>
          <w:rFonts w:ascii="Calibri" w:hAnsi="Calibri" w:cs="Calibri"/>
          <w:i/>
          <w:iCs/>
        </w:rPr>
        <w:t xml:space="preserve"> – Play on Pedals – in August 2018). </w:t>
      </w:r>
      <w:r w:rsidR="00B268E2">
        <w:rPr>
          <w:rFonts w:ascii="Calibri" w:hAnsi="Calibri" w:cs="Calibri"/>
          <w:i/>
          <w:iCs/>
        </w:rPr>
        <w:t>The Scottish government has also got numerous partners to assist with achieving these goals.</w:t>
      </w:r>
    </w:p>
    <w:p w14:paraId="2F2DA30B" w14:textId="77777777" w:rsidR="001F1F3C" w:rsidRPr="00B9652C" w:rsidRDefault="001F1F3C" w:rsidP="001F1F3C">
      <w:pPr>
        <w:spacing w:before="100" w:beforeAutospacing="1" w:after="100" w:afterAutospacing="1"/>
        <w:rPr>
          <w:rFonts w:ascii="Calibri" w:hAnsi="Calibri" w:cs="Calibri"/>
          <w:color w:val="FF0000"/>
        </w:rPr>
      </w:pPr>
      <w:r w:rsidRPr="00374A2C">
        <w:rPr>
          <w:rFonts w:ascii="Calibri" w:hAnsi="Calibri" w:cs="Calibri"/>
          <w:b/>
          <w:bCs/>
        </w:rPr>
        <w:t xml:space="preserve">c) Demonstrated progress through the key stages of public policy making (i.e. policy agenda, policy formation, policy implementation, policy evaluation and decisions about the future). </w:t>
      </w:r>
    </w:p>
    <w:p w14:paraId="04D4AEAC" w14:textId="4A03B0B4" w:rsidR="001F1F3C" w:rsidRDefault="00B268E2" w:rsidP="001F1F3C">
      <w:pPr>
        <w:spacing w:before="100" w:beforeAutospacing="1" w:after="100" w:afterAutospacing="1"/>
        <w:rPr>
          <w:rFonts w:ascii="Calibri" w:hAnsi="Calibri" w:cs="Calibri"/>
          <w:i/>
          <w:iCs/>
        </w:rPr>
      </w:pPr>
      <w:r>
        <w:rPr>
          <w:rFonts w:ascii="Calibri" w:hAnsi="Calibri" w:cs="Calibri"/>
          <w:i/>
          <w:iCs/>
        </w:rPr>
        <w:t>T</w:t>
      </w:r>
      <w:r w:rsidR="001F1F3C" w:rsidRPr="00B9652C">
        <w:rPr>
          <w:rFonts w:ascii="Calibri" w:hAnsi="Calibri" w:cs="Calibri"/>
          <w:i/>
          <w:iCs/>
        </w:rPr>
        <w:t xml:space="preserve">here is clear evidence of leadership and commitment to increasing levels of physical activity and providing physical activity opportunities for children and youth (benchmark a). The allocation of funds and resources for implementation of policy has increased </w:t>
      </w:r>
      <w:r w:rsidR="001F1F3C">
        <w:rPr>
          <w:rFonts w:ascii="Calibri" w:hAnsi="Calibri" w:cs="Calibri"/>
          <w:i/>
          <w:iCs/>
        </w:rPr>
        <w:t xml:space="preserve">substantially </w:t>
      </w:r>
      <w:r w:rsidR="001F1F3C" w:rsidRPr="00B9652C">
        <w:rPr>
          <w:rFonts w:ascii="Calibri" w:hAnsi="Calibri" w:cs="Calibri"/>
          <w:i/>
          <w:iCs/>
        </w:rPr>
        <w:t xml:space="preserve">since previous report cards (benchmark b). Progress through the key stages of public policymaking (policy agenda; policy formation; policy implementation; policy evaluation; decisions about the future) is improved but still arguably limited, with some policy efforts stalling at implementation and many at the evaluation stage (benchmark c). </w:t>
      </w:r>
      <w:r w:rsidR="00C24611">
        <w:rPr>
          <w:rFonts w:ascii="Calibri" w:hAnsi="Calibri" w:cs="Calibri"/>
          <w:i/>
          <w:iCs/>
        </w:rPr>
        <w:t>Overall, m</w:t>
      </w:r>
      <w:r w:rsidR="001F1F3C">
        <w:rPr>
          <w:rFonts w:ascii="Calibri" w:hAnsi="Calibri" w:cs="Calibri"/>
          <w:i/>
          <w:iCs/>
        </w:rPr>
        <w:t>ore information about impact is required</w:t>
      </w:r>
      <w:r w:rsidR="00C24611">
        <w:rPr>
          <w:rFonts w:ascii="Calibri" w:hAnsi="Calibri" w:cs="Calibri"/>
          <w:i/>
          <w:iCs/>
        </w:rPr>
        <w:t xml:space="preserve"> and future policy documents would benefit including more detailed information about </w:t>
      </w:r>
      <w:r w:rsidR="00C24611" w:rsidRPr="00C7505C">
        <w:rPr>
          <w:rFonts w:ascii="Calibri" w:hAnsi="Calibri" w:cs="Calibri"/>
          <w:i/>
          <w:iCs/>
        </w:rPr>
        <w:t xml:space="preserve">monitoring, </w:t>
      </w:r>
      <w:r w:rsidR="00C24611" w:rsidRPr="00C24611">
        <w:rPr>
          <w:rFonts w:ascii="Calibri" w:hAnsi="Calibri" w:cs="Calibri"/>
          <w:i/>
          <w:iCs/>
        </w:rPr>
        <w:t>evaluation,</w:t>
      </w:r>
      <w:r w:rsidR="00C24611" w:rsidRPr="00C7505C">
        <w:rPr>
          <w:rFonts w:ascii="Calibri" w:hAnsi="Calibri" w:cs="Calibri"/>
          <w:i/>
          <w:iCs/>
        </w:rPr>
        <w:t xml:space="preserve"> and reporting.</w:t>
      </w:r>
    </w:p>
    <w:p w14:paraId="0A9EB765" w14:textId="24824F49" w:rsidR="00623DCF" w:rsidRPr="004263B7" w:rsidRDefault="00623DCF" w:rsidP="001F1F3C">
      <w:pPr>
        <w:spacing w:before="100" w:beforeAutospacing="1" w:after="100" w:afterAutospacing="1"/>
        <w:rPr>
          <w:rFonts w:ascii="Calibri" w:hAnsi="Calibri" w:cs="Calibri"/>
          <w:b/>
          <w:i/>
          <w:iCs/>
        </w:rPr>
      </w:pPr>
      <w:r w:rsidRPr="004263B7">
        <w:rPr>
          <w:rFonts w:ascii="Calibri" w:hAnsi="Calibri" w:cs="Calibri"/>
          <w:b/>
          <w:i/>
          <w:iCs/>
        </w:rPr>
        <w:t>Draft grade for physical activity Government and Policy C based on the Ward et al Tool and publication.</w:t>
      </w:r>
    </w:p>
    <w:p w14:paraId="5C0A2BEC" w14:textId="77777777" w:rsidR="00623DCF" w:rsidRDefault="00623DCF" w:rsidP="00623DCF">
      <w:pPr>
        <w:autoSpaceDE w:val="0"/>
        <w:autoSpaceDN w:val="0"/>
        <w:adjustRightInd w:val="0"/>
        <w:spacing w:after="0" w:line="240" w:lineRule="auto"/>
        <w:rPr>
          <w:rFonts w:ascii="Calibri" w:hAnsi="Calibri" w:cs="Calibri"/>
          <w:b/>
          <w:color w:val="000000"/>
        </w:rPr>
      </w:pPr>
      <w:r w:rsidRPr="000A4612">
        <w:rPr>
          <w:rFonts w:ascii="Calibri" w:hAnsi="Calibri" w:cs="Calibri"/>
          <w:b/>
          <w:color w:val="000000"/>
        </w:rPr>
        <w:t>Diet and Obesity</w:t>
      </w:r>
    </w:p>
    <w:p w14:paraId="0D43E0EB" w14:textId="77777777" w:rsidR="00623DCF" w:rsidRDefault="00623DCF" w:rsidP="00623DCF">
      <w:pPr>
        <w:autoSpaceDE w:val="0"/>
        <w:autoSpaceDN w:val="0"/>
        <w:adjustRightInd w:val="0"/>
        <w:spacing w:after="0" w:line="240" w:lineRule="auto"/>
        <w:rPr>
          <w:rFonts w:ascii="Calibri" w:hAnsi="Calibri" w:cs="Calibri"/>
          <w:bCs/>
          <w:color w:val="000000"/>
        </w:rPr>
      </w:pPr>
    </w:p>
    <w:p w14:paraId="0018453B" w14:textId="77777777" w:rsidR="00623DCF" w:rsidRDefault="00623DCF" w:rsidP="00623DCF">
      <w:pPr>
        <w:autoSpaceDE w:val="0"/>
        <w:autoSpaceDN w:val="0"/>
        <w:adjustRightInd w:val="0"/>
        <w:spacing w:after="0" w:line="240" w:lineRule="auto"/>
        <w:rPr>
          <w:rFonts w:ascii="Calibri" w:hAnsi="Calibri" w:cs="Calibri"/>
          <w:bCs/>
          <w:color w:val="000000"/>
        </w:rPr>
      </w:pPr>
      <w:r>
        <w:rPr>
          <w:rFonts w:ascii="Calibri" w:hAnsi="Calibri" w:cs="Calibri"/>
          <w:bCs/>
          <w:color w:val="000000"/>
        </w:rPr>
        <w:t xml:space="preserve">There is evidence of commitment towards improving diet and tackling childhood obesity, with several </w:t>
      </w:r>
      <w:r w:rsidRPr="00D11EBC">
        <w:rPr>
          <w:rFonts w:ascii="Calibri" w:hAnsi="Calibri" w:cs="Calibri"/>
          <w:bCs/>
          <w:color w:val="000000"/>
        </w:rPr>
        <w:t>relevant policies/strategies/targets in place</w:t>
      </w:r>
      <w:r>
        <w:rPr>
          <w:rFonts w:ascii="Calibri" w:hAnsi="Calibri" w:cs="Calibri"/>
          <w:bCs/>
          <w:color w:val="000000"/>
        </w:rPr>
        <w:t xml:space="preserve">, with clearly identified accountable organisations for implementation. Several had defined funding however, for some the source of this was vague.  However, the evidence of monitoring and evaluation and identifiable reporting structures was less clear. </w:t>
      </w:r>
      <w:r w:rsidRPr="008F7AE1">
        <w:rPr>
          <w:rFonts w:ascii="Calibri" w:hAnsi="Calibri" w:cs="Calibri"/>
          <w:bCs/>
          <w:color w:val="000000"/>
        </w:rPr>
        <w:t>Pre-existing policies/targets/strategies include the Criteria for healthcare retail standard (2015), Better eating, better learning</w:t>
      </w:r>
      <w:r>
        <w:rPr>
          <w:rFonts w:ascii="Calibri" w:hAnsi="Calibri" w:cs="Calibri"/>
          <w:bCs/>
          <w:color w:val="000000"/>
        </w:rPr>
        <w:t xml:space="preserve">: a new context for school food </w:t>
      </w:r>
      <w:r w:rsidRPr="008F7AE1">
        <w:rPr>
          <w:rFonts w:ascii="Calibri" w:hAnsi="Calibri" w:cs="Calibri"/>
          <w:bCs/>
          <w:color w:val="000000"/>
        </w:rPr>
        <w:t>(2014), Beyond the School Gate (2014), A fairer, healthier Scotland: A strategic Framework for Action (2017-2022), Recipe for Success: Scotland’s national food and drink policy, becoming a Good Food Nation</w:t>
      </w:r>
      <w:r>
        <w:rPr>
          <w:rFonts w:ascii="Calibri" w:hAnsi="Calibri" w:cs="Calibri"/>
          <w:bCs/>
          <w:color w:val="000000"/>
        </w:rPr>
        <w:t xml:space="preserve"> (2014),</w:t>
      </w:r>
      <w:r w:rsidRPr="008F7AE1">
        <w:rPr>
          <w:rFonts w:ascii="Calibri" w:hAnsi="Calibri" w:cs="Calibri"/>
          <w:bCs/>
          <w:color w:val="000000"/>
        </w:rPr>
        <w:t xml:space="preserve"> Scottish Dietary Goals (2016), Soft Drinks Industry Levy (2018) / The Finance Act (2017) and Scotland’s Free School Meals (2015). A further £1 million was invested over a two-year period for providing free school meals during school holidays (2019). March 2020: £30 million allocated to councils to assist in free school meals at the beginning of the coronavirus pandemic. A further £27.6 million was provided in June 2020. </w:t>
      </w:r>
      <w:r>
        <w:rPr>
          <w:rFonts w:ascii="Calibri" w:hAnsi="Calibri" w:cs="Calibri"/>
          <w:bCs/>
          <w:color w:val="000000"/>
        </w:rPr>
        <w:t xml:space="preserve">The comprehensive </w:t>
      </w:r>
      <w:r w:rsidRPr="008F7AE1">
        <w:rPr>
          <w:rFonts w:ascii="Calibri" w:hAnsi="Calibri" w:cs="Calibri"/>
          <w:bCs/>
          <w:color w:val="000000"/>
        </w:rPr>
        <w:t>A healthier future: Scotland's diet and healthy weight delivery plan (2018) superseded Scotland’s obesity route map (2010). Under the Poverty and Social Justice Policy (2017), the Fair Food Fund supplied grants to 34 community organisations within Scotland to tackle food insecurity and food inequities between 2017 and 2019. A further &gt;£120 million was invested during the coronavirus pandemic (2020/2021). There have been few new policies/strategies in this area since the previous report card, furthermore, the Good Food Nation Bill is yet to be implemented. The Scottish Food Coalition has been attempting to implement the Good Food Nation Bill since 2014. This bill is due to be pushed during the 2021 parliamentary session. The proposed bill focuses on tackling food insecurity, restricting HFSS marketing and halving childhood obesity by 2030.</w:t>
      </w:r>
      <w:r>
        <w:rPr>
          <w:rFonts w:ascii="Calibri" w:hAnsi="Calibri" w:cs="Calibri"/>
          <w:bCs/>
          <w:color w:val="000000"/>
        </w:rPr>
        <w:t xml:space="preserve"> </w:t>
      </w:r>
    </w:p>
    <w:p w14:paraId="3E24A234" w14:textId="77777777" w:rsidR="00623DCF" w:rsidRDefault="00623DCF" w:rsidP="00623DCF">
      <w:pPr>
        <w:autoSpaceDE w:val="0"/>
        <w:autoSpaceDN w:val="0"/>
        <w:adjustRightInd w:val="0"/>
        <w:spacing w:after="0" w:line="240" w:lineRule="auto"/>
        <w:rPr>
          <w:rFonts w:ascii="Calibri" w:hAnsi="Calibri" w:cs="Calibri"/>
          <w:bCs/>
          <w:color w:val="000000"/>
        </w:rPr>
      </w:pPr>
    </w:p>
    <w:p w14:paraId="1E6F8075" w14:textId="77777777" w:rsidR="00623DCF" w:rsidRDefault="00623DCF" w:rsidP="00623DCF">
      <w:pPr>
        <w:autoSpaceDE w:val="0"/>
        <w:autoSpaceDN w:val="0"/>
        <w:adjustRightInd w:val="0"/>
        <w:spacing w:after="0" w:line="240" w:lineRule="auto"/>
        <w:rPr>
          <w:rFonts w:ascii="Calibri" w:hAnsi="Calibri" w:cs="Calibri"/>
          <w:bCs/>
          <w:color w:val="000000"/>
        </w:rPr>
      </w:pPr>
    </w:p>
    <w:p w14:paraId="2DAF2708" w14:textId="3ACF0A4E" w:rsidR="004A1925" w:rsidRPr="004263B7" w:rsidRDefault="00623DCF" w:rsidP="001F1F3C">
      <w:pPr>
        <w:spacing w:before="100" w:beforeAutospacing="1" w:after="100" w:afterAutospacing="1"/>
        <w:rPr>
          <w:rFonts w:ascii="Calibri" w:hAnsi="Calibri" w:cs="Calibri"/>
          <w:b/>
          <w:i/>
          <w:iCs/>
        </w:rPr>
      </w:pPr>
      <w:r w:rsidRPr="004263B7">
        <w:rPr>
          <w:rFonts w:ascii="Calibri" w:hAnsi="Calibri" w:cs="Calibri"/>
          <w:b/>
          <w:bCs/>
          <w:color w:val="000000"/>
        </w:rPr>
        <w:t>Draft grade: C+ for Diet  (based on the Ward et al policy audit tool used).</w:t>
      </w:r>
    </w:p>
    <w:p w14:paraId="1F4FE5BD" w14:textId="5C542726" w:rsidR="00867A1F" w:rsidRDefault="00867A1F" w:rsidP="008A7963">
      <w:pPr>
        <w:autoSpaceDE w:val="0"/>
        <w:autoSpaceDN w:val="0"/>
        <w:adjustRightInd w:val="0"/>
        <w:spacing w:after="0" w:line="240" w:lineRule="auto"/>
        <w:rPr>
          <w:rFonts w:ascii="Calibri" w:hAnsi="Calibri" w:cs="Calibri"/>
          <w:b/>
          <w:color w:val="000000"/>
          <w:sz w:val="28"/>
          <w:szCs w:val="28"/>
        </w:rPr>
        <w:sectPr w:rsidR="00867A1F">
          <w:headerReference w:type="default" r:id="rId23"/>
          <w:pgSz w:w="11906" w:h="16838"/>
          <w:pgMar w:top="1440" w:right="1440" w:bottom="1440" w:left="1440" w:header="708" w:footer="708" w:gutter="0"/>
          <w:cols w:space="708"/>
          <w:docGrid w:linePitch="360"/>
        </w:sectPr>
      </w:pPr>
    </w:p>
    <w:p w14:paraId="4418CDF2" w14:textId="73574EE8" w:rsidR="008A7963" w:rsidRPr="00CE5728" w:rsidRDefault="00B70107" w:rsidP="008A7963">
      <w:pPr>
        <w:autoSpaceDE w:val="0"/>
        <w:autoSpaceDN w:val="0"/>
        <w:adjustRightInd w:val="0"/>
        <w:spacing w:after="0" w:line="240" w:lineRule="auto"/>
        <w:rPr>
          <w:rFonts w:ascii="Calibri" w:hAnsi="Calibri" w:cs="Calibri"/>
          <w:b/>
          <w:color w:val="000000"/>
          <w:sz w:val="28"/>
          <w:szCs w:val="28"/>
        </w:rPr>
      </w:pPr>
      <w:r>
        <w:rPr>
          <w:rFonts w:ascii="Calibri" w:hAnsi="Calibri" w:cs="Calibri"/>
          <w:b/>
          <w:color w:val="000000"/>
          <w:sz w:val="28"/>
          <w:szCs w:val="28"/>
        </w:rPr>
        <w:t>Table 1 Data Considered for the Active Play Indicator</w:t>
      </w:r>
    </w:p>
    <w:tbl>
      <w:tblPr>
        <w:tblStyle w:val="TableGrid1"/>
        <w:tblW w:w="14014" w:type="dxa"/>
        <w:tblLayout w:type="fixed"/>
        <w:tblLook w:val="04A0" w:firstRow="1" w:lastRow="0" w:firstColumn="1" w:lastColumn="0" w:noHBand="0" w:noVBand="1"/>
      </w:tblPr>
      <w:tblGrid>
        <w:gridCol w:w="5046"/>
        <w:gridCol w:w="2265"/>
        <w:gridCol w:w="2531"/>
        <w:gridCol w:w="2260"/>
        <w:gridCol w:w="1912"/>
      </w:tblGrid>
      <w:tr w:rsidR="008A7963" w:rsidRPr="008A7963" w14:paraId="68A9AC45" w14:textId="77777777" w:rsidTr="001A01DC">
        <w:tc>
          <w:tcPr>
            <w:tcW w:w="5046" w:type="dxa"/>
          </w:tcPr>
          <w:p w14:paraId="06A182FA" w14:textId="77777777" w:rsidR="008A7963" w:rsidRPr="008A7963" w:rsidRDefault="008A7963" w:rsidP="008A7963">
            <w:pPr>
              <w:jc w:val="center"/>
              <w:rPr>
                <w:rFonts w:cstheme="minorHAnsi"/>
                <w:b/>
                <w:sz w:val="20"/>
                <w:szCs w:val="20"/>
              </w:rPr>
            </w:pPr>
            <w:r w:rsidRPr="008A7963">
              <w:rPr>
                <w:rFonts w:cstheme="minorHAnsi"/>
                <w:b/>
                <w:sz w:val="20"/>
                <w:szCs w:val="20"/>
              </w:rPr>
              <w:t xml:space="preserve">Survey name, year data collected, name of the report and year report published and link(s) to the document/survey </w:t>
            </w:r>
          </w:p>
        </w:tc>
        <w:tc>
          <w:tcPr>
            <w:tcW w:w="2265" w:type="dxa"/>
          </w:tcPr>
          <w:p w14:paraId="7D2A5DEC" w14:textId="77777777" w:rsidR="008A7963" w:rsidRPr="008A7963" w:rsidRDefault="008A7963" w:rsidP="008A7963">
            <w:pPr>
              <w:jc w:val="center"/>
              <w:rPr>
                <w:rFonts w:cstheme="minorHAnsi"/>
                <w:b/>
                <w:sz w:val="20"/>
                <w:szCs w:val="20"/>
              </w:rPr>
            </w:pPr>
            <w:r w:rsidRPr="008A7963">
              <w:rPr>
                <w:rFonts w:cstheme="minorHAnsi"/>
                <w:b/>
                <w:sz w:val="20"/>
                <w:szCs w:val="20"/>
              </w:rPr>
              <w:t xml:space="preserve">Details of participants </w:t>
            </w:r>
          </w:p>
        </w:tc>
        <w:tc>
          <w:tcPr>
            <w:tcW w:w="2531" w:type="dxa"/>
          </w:tcPr>
          <w:p w14:paraId="5D623446" w14:textId="77777777" w:rsidR="008A7963" w:rsidRPr="008A7963" w:rsidRDefault="008A7963" w:rsidP="008A7963">
            <w:pPr>
              <w:jc w:val="center"/>
              <w:rPr>
                <w:rFonts w:cstheme="minorHAnsi"/>
                <w:b/>
                <w:sz w:val="20"/>
                <w:szCs w:val="20"/>
              </w:rPr>
            </w:pPr>
            <w:r w:rsidRPr="008A7963">
              <w:rPr>
                <w:rFonts w:cstheme="minorHAnsi"/>
                <w:b/>
                <w:sz w:val="20"/>
                <w:szCs w:val="20"/>
              </w:rPr>
              <w:t xml:space="preserve">Method of measurement (including the questions asked in the survey to measure the indicator) </w:t>
            </w:r>
          </w:p>
        </w:tc>
        <w:tc>
          <w:tcPr>
            <w:tcW w:w="2260" w:type="dxa"/>
          </w:tcPr>
          <w:p w14:paraId="1B7C3FEB" w14:textId="77777777" w:rsidR="008A7963" w:rsidRPr="008A7963" w:rsidRDefault="008A7963" w:rsidP="008A7963">
            <w:pPr>
              <w:jc w:val="center"/>
              <w:rPr>
                <w:rFonts w:cstheme="minorHAnsi"/>
                <w:b/>
                <w:sz w:val="20"/>
                <w:szCs w:val="20"/>
              </w:rPr>
            </w:pPr>
            <w:r w:rsidRPr="008A7963">
              <w:rPr>
                <w:rFonts w:cstheme="minorHAnsi"/>
                <w:b/>
                <w:sz w:val="20"/>
                <w:szCs w:val="20"/>
              </w:rPr>
              <w:t xml:space="preserve">Findings </w:t>
            </w:r>
          </w:p>
        </w:tc>
        <w:tc>
          <w:tcPr>
            <w:tcW w:w="1912" w:type="dxa"/>
          </w:tcPr>
          <w:p w14:paraId="08ACCFB9" w14:textId="77777777" w:rsidR="008A7963" w:rsidRPr="008A7963" w:rsidRDefault="008A7963" w:rsidP="008A7963">
            <w:pPr>
              <w:jc w:val="center"/>
              <w:rPr>
                <w:rFonts w:cstheme="minorHAnsi"/>
                <w:b/>
                <w:sz w:val="20"/>
                <w:szCs w:val="20"/>
              </w:rPr>
            </w:pPr>
            <w:r w:rsidRPr="008A7963">
              <w:rPr>
                <w:rFonts w:cstheme="minorHAnsi"/>
                <w:b/>
                <w:sz w:val="20"/>
                <w:szCs w:val="20"/>
              </w:rPr>
              <w:t xml:space="preserve">Additional comments </w:t>
            </w:r>
          </w:p>
        </w:tc>
      </w:tr>
      <w:tr w:rsidR="008A7963" w:rsidRPr="008A7963" w14:paraId="484E2481" w14:textId="77777777" w:rsidTr="001A01DC">
        <w:tc>
          <w:tcPr>
            <w:tcW w:w="5046" w:type="dxa"/>
            <w:shd w:val="clear" w:color="auto" w:fill="auto"/>
          </w:tcPr>
          <w:p w14:paraId="5042B885" w14:textId="77777777" w:rsidR="008A7963" w:rsidRPr="008A7963" w:rsidRDefault="008A7963" w:rsidP="008A7963">
            <w:pPr>
              <w:rPr>
                <w:rFonts w:cstheme="minorHAnsi"/>
                <w:sz w:val="20"/>
                <w:szCs w:val="20"/>
              </w:rPr>
            </w:pPr>
            <w:r w:rsidRPr="008A7963">
              <w:rPr>
                <w:rFonts w:cstheme="minorHAnsi"/>
                <w:b/>
                <w:sz w:val="20"/>
                <w:szCs w:val="20"/>
              </w:rPr>
              <w:t>Survey:</w:t>
            </w:r>
            <w:r w:rsidRPr="008A7963">
              <w:rPr>
                <w:rFonts w:cstheme="minorHAnsi"/>
                <w:sz w:val="20"/>
                <w:szCs w:val="20"/>
              </w:rPr>
              <w:t xml:space="preserve"> Scottish Health Survey (SHeS) 2019</w:t>
            </w:r>
          </w:p>
          <w:p w14:paraId="2AAD9DE9" w14:textId="77777777" w:rsidR="008A7963" w:rsidRPr="008A7963" w:rsidRDefault="008A7963" w:rsidP="008A7963">
            <w:pPr>
              <w:rPr>
                <w:rFonts w:cstheme="minorHAnsi"/>
                <w:sz w:val="20"/>
                <w:szCs w:val="20"/>
              </w:rPr>
            </w:pPr>
            <w:r w:rsidRPr="008A7963">
              <w:rPr>
                <w:rFonts w:cstheme="minorHAnsi"/>
                <w:b/>
                <w:sz w:val="20"/>
                <w:szCs w:val="20"/>
              </w:rPr>
              <w:t xml:space="preserve">Publication: </w:t>
            </w:r>
            <w:r w:rsidRPr="008A7963">
              <w:rPr>
                <w:rFonts w:cstheme="minorHAnsi"/>
                <w:sz w:val="20"/>
                <w:szCs w:val="20"/>
              </w:rPr>
              <w:t>Scottish Health Survey 2019 - volume 1: main report (published originally Sep-20)</w:t>
            </w:r>
          </w:p>
          <w:p w14:paraId="618FB415" w14:textId="77777777" w:rsidR="008A7963" w:rsidRPr="008A7963" w:rsidRDefault="00F1041F" w:rsidP="008A7963">
            <w:pPr>
              <w:rPr>
                <w:rFonts w:cstheme="minorHAnsi"/>
                <w:color w:val="0563C1" w:themeColor="hyperlink"/>
                <w:sz w:val="20"/>
                <w:szCs w:val="20"/>
                <w:u w:val="single"/>
              </w:rPr>
            </w:pPr>
            <w:hyperlink r:id="rId24" w:history="1">
              <w:r w:rsidR="008A7963" w:rsidRPr="008A7963">
                <w:rPr>
                  <w:rFonts w:cstheme="minorHAnsi"/>
                  <w:color w:val="0563C1" w:themeColor="hyperlink"/>
                  <w:sz w:val="20"/>
                  <w:szCs w:val="20"/>
                  <w:u w:val="single"/>
                </w:rPr>
                <w:t>https://www.gov.scot/collections/scottish-health-survey/</w:t>
              </w:r>
            </w:hyperlink>
          </w:p>
          <w:p w14:paraId="60FC6B8F" w14:textId="77777777" w:rsidR="008A7963" w:rsidRPr="008A7963" w:rsidRDefault="008A7963" w:rsidP="008A7963">
            <w:pPr>
              <w:rPr>
                <w:rFonts w:cstheme="minorHAnsi"/>
                <w:color w:val="0563C1" w:themeColor="hyperlink"/>
                <w:sz w:val="20"/>
                <w:szCs w:val="20"/>
                <w:u w:val="single"/>
              </w:rPr>
            </w:pPr>
          </w:p>
          <w:p w14:paraId="4EB7364C" w14:textId="77777777" w:rsidR="008A7963" w:rsidRPr="008A7963" w:rsidRDefault="008A7963" w:rsidP="008A7963">
            <w:pPr>
              <w:rPr>
                <w:rFonts w:cstheme="minorHAnsi"/>
                <w:b/>
                <w:sz w:val="20"/>
                <w:szCs w:val="20"/>
              </w:rPr>
            </w:pPr>
          </w:p>
        </w:tc>
        <w:tc>
          <w:tcPr>
            <w:tcW w:w="2265" w:type="dxa"/>
            <w:shd w:val="clear" w:color="auto" w:fill="auto"/>
          </w:tcPr>
          <w:p w14:paraId="65AAEA48" w14:textId="77777777" w:rsidR="008A7963" w:rsidRPr="008A7963" w:rsidRDefault="008A7963" w:rsidP="008A7963">
            <w:pPr>
              <w:rPr>
                <w:rFonts w:cstheme="minorHAnsi"/>
                <w:sz w:val="20"/>
                <w:szCs w:val="20"/>
              </w:rPr>
            </w:pPr>
            <w:r w:rsidRPr="008A7963">
              <w:rPr>
                <w:rFonts w:cstheme="minorHAnsi"/>
                <w:sz w:val="20"/>
                <w:szCs w:val="20"/>
              </w:rPr>
              <w:t>Nationally representative sample of 1,747 children (aged 2-15).</w:t>
            </w:r>
          </w:p>
          <w:p w14:paraId="68EAC2D7" w14:textId="77777777" w:rsidR="008A7963" w:rsidRPr="008A7963" w:rsidRDefault="008A7963" w:rsidP="008A7963">
            <w:pPr>
              <w:rPr>
                <w:rFonts w:cstheme="minorHAnsi"/>
                <w:sz w:val="20"/>
                <w:szCs w:val="20"/>
              </w:rPr>
            </w:pPr>
          </w:p>
          <w:p w14:paraId="1141A785" w14:textId="77777777" w:rsidR="008A7963" w:rsidRPr="008A7963" w:rsidRDefault="008A7963" w:rsidP="008A7963">
            <w:pPr>
              <w:rPr>
                <w:rFonts w:cstheme="minorHAnsi"/>
                <w:sz w:val="20"/>
                <w:szCs w:val="20"/>
              </w:rPr>
            </w:pPr>
            <w:r w:rsidRPr="008A7963">
              <w:rPr>
                <w:rFonts w:cstheme="minorHAnsi"/>
                <w:sz w:val="20"/>
                <w:szCs w:val="20"/>
              </w:rPr>
              <w:t>Unweighted= 1,747</w:t>
            </w:r>
          </w:p>
          <w:p w14:paraId="1EC464FF" w14:textId="77777777" w:rsidR="008A7963" w:rsidRPr="008A7963" w:rsidRDefault="008A7963" w:rsidP="008A7963">
            <w:pPr>
              <w:rPr>
                <w:rFonts w:cstheme="minorHAnsi"/>
                <w:sz w:val="20"/>
                <w:szCs w:val="20"/>
              </w:rPr>
            </w:pPr>
            <w:r w:rsidRPr="008A7963">
              <w:rPr>
                <w:rFonts w:cstheme="minorHAnsi"/>
                <w:sz w:val="20"/>
                <w:szCs w:val="20"/>
              </w:rPr>
              <w:t>Weighted= 1,756</w:t>
            </w:r>
          </w:p>
          <w:p w14:paraId="6F634FA5" w14:textId="77777777" w:rsidR="008A7963" w:rsidRPr="008A7963" w:rsidRDefault="008A7963" w:rsidP="008A7963">
            <w:pPr>
              <w:rPr>
                <w:rFonts w:cstheme="minorHAnsi"/>
                <w:b/>
                <w:sz w:val="20"/>
                <w:szCs w:val="20"/>
              </w:rPr>
            </w:pPr>
          </w:p>
          <w:p w14:paraId="4FF351F2" w14:textId="77777777" w:rsidR="008A7963" w:rsidRPr="008A7963" w:rsidRDefault="008A7963" w:rsidP="008A7963">
            <w:pPr>
              <w:rPr>
                <w:rFonts w:cstheme="minorHAnsi"/>
                <w:b/>
                <w:sz w:val="20"/>
                <w:szCs w:val="20"/>
              </w:rPr>
            </w:pPr>
          </w:p>
        </w:tc>
        <w:tc>
          <w:tcPr>
            <w:tcW w:w="2531" w:type="dxa"/>
            <w:shd w:val="clear" w:color="auto" w:fill="auto"/>
          </w:tcPr>
          <w:p w14:paraId="449B850F" w14:textId="77777777" w:rsidR="008A7963" w:rsidRPr="008A7963" w:rsidRDefault="008A7963" w:rsidP="008A7963">
            <w:pPr>
              <w:rPr>
                <w:rFonts w:cstheme="minorHAnsi"/>
                <w:bCs/>
                <w:sz w:val="20"/>
                <w:szCs w:val="20"/>
              </w:rPr>
            </w:pPr>
            <w:r w:rsidRPr="008A7963">
              <w:rPr>
                <w:rFonts w:cstheme="minorHAnsi"/>
                <w:b/>
                <w:sz w:val="20"/>
                <w:szCs w:val="20"/>
              </w:rPr>
              <w:t xml:space="preserve">Method: </w:t>
            </w:r>
            <w:r w:rsidRPr="008A7963">
              <w:rPr>
                <w:rFonts w:cstheme="minorHAnsi"/>
                <w:sz w:val="20"/>
                <w:szCs w:val="20"/>
              </w:rPr>
              <w:t xml:space="preserve">Self-report for children age 13-15 years and parent proxy-report for children age 0-12 yrs.  </w:t>
            </w:r>
          </w:p>
          <w:p w14:paraId="1D4C699E" w14:textId="77777777" w:rsidR="008A7963" w:rsidRPr="008A7963" w:rsidRDefault="008A7963" w:rsidP="008A7963">
            <w:pPr>
              <w:rPr>
                <w:rFonts w:cstheme="minorHAnsi"/>
                <w:b/>
                <w:sz w:val="20"/>
                <w:szCs w:val="20"/>
              </w:rPr>
            </w:pPr>
          </w:p>
          <w:p w14:paraId="177C8BB9" w14:textId="1CBDEC11" w:rsidR="008A7963" w:rsidRPr="008A7963" w:rsidRDefault="00CE5728" w:rsidP="008A7963">
            <w:pPr>
              <w:rPr>
                <w:rFonts w:cstheme="minorHAnsi"/>
                <w:b/>
                <w:sz w:val="20"/>
                <w:szCs w:val="20"/>
              </w:rPr>
            </w:pPr>
            <w:r>
              <w:rPr>
                <w:rFonts w:cstheme="minorHAnsi"/>
                <w:b/>
                <w:sz w:val="20"/>
                <w:szCs w:val="20"/>
              </w:rPr>
              <w:t>Questions – Page 221-224.</w:t>
            </w:r>
            <w:r w:rsidRPr="008A7963">
              <w:rPr>
                <w:rFonts w:cstheme="minorHAnsi"/>
                <w:b/>
                <w:sz w:val="20"/>
                <w:szCs w:val="20"/>
              </w:rPr>
              <w:t xml:space="preserve"> </w:t>
            </w:r>
          </w:p>
          <w:p w14:paraId="2008E9F6" w14:textId="77777777" w:rsidR="008A7963" w:rsidRPr="008A7963" w:rsidRDefault="008A7963" w:rsidP="008A7963">
            <w:pPr>
              <w:rPr>
                <w:rFonts w:cstheme="minorHAnsi"/>
                <w:bCs/>
                <w:sz w:val="20"/>
                <w:szCs w:val="20"/>
              </w:rPr>
            </w:pPr>
            <w:r w:rsidRPr="008A7963">
              <w:rPr>
                <w:rFonts w:cstheme="minorHAnsi"/>
                <w:bCs/>
                <w:sz w:val="20"/>
                <w:szCs w:val="20"/>
              </w:rPr>
              <w:t xml:space="preserve">Card F3 shown: </w:t>
            </w:r>
          </w:p>
          <w:p w14:paraId="11044D39" w14:textId="77777777" w:rsidR="008A7963" w:rsidRPr="008A7963" w:rsidRDefault="008A7963" w:rsidP="008A7963">
            <w:pPr>
              <w:numPr>
                <w:ilvl w:val="0"/>
                <w:numId w:val="3"/>
              </w:numPr>
              <w:ind w:left="168" w:hanging="142"/>
              <w:contextualSpacing/>
              <w:rPr>
                <w:rFonts w:cstheme="minorHAnsi"/>
                <w:bCs/>
                <w:sz w:val="20"/>
                <w:szCs w:val="20"/>
              </w:rPr>
            </w:pPr>
            <w:r w:rsidRPr="008A7963">
              <w:rPr>
                <w:rFonts w:cstheme="minorHAnsi"/>
                <w:bCs/>
                <w:sz w:val="20"/>
                <w:szCs w:val="20"/>
              </w:rPr>
              <w:t>Other active things like:</w:t>
            </w:r>
          </w:p>
          <w:p w14:paraId="6D1348CA" w14:textId="77777777" w:rsidR="008A7963" w:rsidRPr="008A7963" w:rsidRDefault="008A7963" w:rsidP="008A7963">
            <w:pPr>
              <w:numPr>
                <w:ilvl w:val="0"/>
                <w:numId w:val="3"/>
              </w:numPr>
              <w:ind w:left="168" w:hanging="142"/>
              <w:contextualSpacing/>
              <w:rPr>
                <w:rFonts w:cstheme="minorHAnsi"/>
                <w:bCs/>
                <w:sz w:val="20"/>
                <w:szCs w:val="20"/>
              </w:rPr>
            </w:pPr>
            <w:r w:rsidRPr="008A7963">
              <w:rPr>
                <w:rFonts w:cstheme="minorHAnsi"/>
                <w:bCs/>
                <w:sz w:val="20"/>
                <w:szCs w:val="20"/>
              </w:rPr>
              <w:t>Ride a bike</w:t>
            </w:r>
          </w:p>
          <w:p w14:paraId="17DC595B" w14:textId="77777777" w:rsidR="008A7963" w:rsidRPr="008A7963" w:rsidRDefault="008A7963" w:rsidP="008A7963">
            <w:pPr>
              <w:numPr>
                <w:ilvl w:val="0"/>
                <w:numId w:val="3"/>
              </w:numPr>
              <w:ind w:left="168" w:hanging="142"/>
              <w:contextualSpacing/>
              <w:rPr>
                <w:rFonts w:cstheme="minorHAnsi"/>
                <w:bCs/>
                <w:sz w:val="20"/>
                <w:szCs w:val="20"/>
              </w:rPr>
            </w:pPr>
            <w:r w:rsidRPr="008A7963">
              <w:rPr>
                <w:rFonts w:cstheme="minorHAnsi"/>
                <w:bCs/>
                <w:sz w:val="20"/>
                <w:szCs w:val="20"/>
              </w:rPr>
              <w:t>Kick a ball around</w:t>
            </w:r>
          </w:p>
          <w:p w14:paraId="7B5CC827" w14:textId="77777777" w:rsidR="008A7963" w:rsidRPr="008A7963" w:rsidRDefault="008A7963" w:rsidP="008A7963">
            <w:pPr>
              <w:numPr>
                <w:ilvl w:val="0"/>
                <w:numId w:val="3"/>
              </w:numPr>
              <w:ind w:left="168" w:hanging="142"/>
              <w:contextualSpacing/>
              <w:rPr>
                <w:rFonts w:cstheme="minorHAnsi"/>
                <w:bCs/>
                <w:sz w:val="20"/>
                <w:szCs w:val="20"/>
              </w:rPr>
            </w:pPr>
            <w:r w:rsidRPr="008A7963">
              <w:rPr>
                <w:rFonts w:cstheme="minorHAnsi"/>
                <w:bCs/>
                <w:sz w:val="20"/>
                <w:szCs w:val="20"/>
              </w:rPr>
              <w:t>Run about (outdoors or indoors)</w:t>
            </w:r>
          </w:p>
          <w:p w14:paraId="3177870A" w14:textId="77777777" w:rsidR="008A7963" w:rsidRPr="008A7963" w:rsidRDefault="008A7963" w:rsidP="008A7963">
            <w:pPr>
              <w:numPr>
                <w:ilvl w:val="0"/>
                <w:numId w:val="3"/>
              </w:numPr>
              <w:ind w:left="168" w:hanging="142"/>
              <w:contextualSpacing/>
              <w:rPr>
                <w:rFonts w:cstheme="minorHAnsi"/>
                <w:bCs/>
                <w:sz w:val="20"/>
                <w:szCs w:val="20"/>
              </w:rPr>
            </w:pPr>
            <w:r w:rsidRPr="008A7963">
              <w:rPr>
                <w:rFonts w:cstheme="minorHAnsi"/>
                <w:bCs/>
                <w:sz w:val="20"/>
                <w:szCs w:val="20"/>
              </w:rPr>
              <w:t>Play active games</w:t>
            </w:r>
          </w:p>
          <w:p w14:paraId="518462AC" w14:textId="77777777" w:rsidR="008A7963" w:rsidRPr="008A7963" w:rsidRDefault="008A7963" w:rsidP="008A7963">
            <w:pPr>
              <w:numPr>
                <w:ilvl w:val="0"/>
                <w:numId w:val="3"/>
              </w:numPr>
              <w:ind w:left="168" w:hanging="142"/>
              <w:contextualSpacing/>
              <w:rPr>
                <w:rFonts w:cstheme="minorHAnsi"/>
                <w:bCs/>
                <w:sz w:val="20"/>
                <w:szCs w:val="20"/>
              </w:rPr>
            </w:pPr>
            <w:r w:rsidRPr="008A7963">
              <w:rPr>
                <w:rFonts w:cstheme="minorHAnsi"/>
                <w:bCs/>
                <w:sz w:val="20"/>
                <w:szCs w:val="20"/>
              </w:rPr>
              <w:t xml:space="preserve">Jump around </w:t>
            </w:r>
          </w:p>
          <w:p w14:paraId="5ECA4ABB" w14:textId="77777777" w:rsidR="008A7963" w:rsidRPr="008A7963" w:rsidRDefault="008A7963" w:rsidP="008A7963">
            <w:pPr>
              <w:rPr>
                <w:rFonts w:cstheme="minorHAnsi"/>
                <w:bCs/>
                <w:sz w:val="20"/>
                <w:szCs w:val="20"/>
              </w:rPr>
            </w:pPr>
          </w:p>
          <w:p w14:paraId="11A1D781" w14:textId="77777777" w:rsidR="008A7963" w:rsidRPr="008A7963" w:rsidRDefault="008A7963" w:rsidP="008A7963">
            <w:pPr>
              <w:rPr>
                <w:rFonts w:cstheme="minorHAnsi"/>
                <w:bCs/>
                <w:sz w:val="20"/>
                <w:szCs w:val="20"/>
              </w:rPr>
            </w:pPr>
            <w:r w:rsidRPr="008A7963">
              <w:rPr>
                <w:rFonts w:cstheme="minorHAnsi"/>
                <w:bCs/>
                <w:sz w:val="20"/>
                <w:szCs w:val="20"/>
              </w:rPr>
              <w:t xml:space="preserve">How many days did you/ your child engage in these activities described above (answered separately for weekday and weekend). </w:t>
            </w:r>
          </w:p>
        </w:tc>
        <w:tc>
          <w:tcPr>
            <w:tcW w:w="2260" w:type="dxa"/>
            <w:shd w:val="clear" w:color="auto" w:fill="auto"/>
          </w:tcPr>
          <w:p w14:paraId="08D5351A" w14:textId="77777777" w:rsidR="008A7963" w:rsidRPr="00B70107" w:rsidRDefault="008A7963" w:rsidP="008A7963">
            <w:pPr>
              <w:rPr>
                <w:rFonts w:cstheme="minorHAnsi"/>
                <w:sz w:val="20"/>
                <w:szCs w:val="20"/>
              </w:rPr>
            </w:pPr>
            <w:r w:rsidRPr="00B70107">
              <w:rPr>
                <w:rFonts w:cstheme="minorHAnsi"/>
                <w:sz w:val="20"/>
                <w:szCs w:val="20"/>
              </w:rPr>
              <w:t xml:space="preserve">Data </w:t>
            </w:r>
            <w:r w:rsidRPr="00B70107">
              <w:rPr>
                <w:rFonts w:cstheme="minorHAnsi"/>
                <w:b/>
                <w:sz w:val="20"/>
                <w:szCs w:val="20"/>
                <w:u w:val="single"/>
              </w:rPr>
              <w:t>cannot be used for grading</w:t>
            </w:r>
            <w:r w:rsidRPr="00B70107">
              <w:rPr>
                <w:rFonts w:cstheme="minorHAnsi"/>
                <w:sz w:val="20"/>
                <w:szCs w:val="20"/>
              </w:rPr>
              <w:t xml:space="preserve"> as data is reported as the number of days the child engaged in active play rather than total minutes per day. </w:t>
            </w:r>
          </w:p>
          <w:p w14:paraId="7662D3A0" w14:textId="77777777" w:rsidR="008A7963" w:rsidRPr="00B70107" w:rsidRDefault="008A7963" w:rsidP="008A7963">
            <w:pPr>
              <w:rPr>
                <w:rFonts w:cstheme="minorHAnsi"/>
                <w:b/>
                <w:sz w:val="20"/>
                <w:szCs w:val="20"/>
              </w:rPr>
            </w:pPr>
          </w:p>
        </w:tc>
        <w:tc>
          <w:tcPr>
            <w:tcW w:w="1912" w:type="dxa"/>
            <w:shd w:val="clear" w:color="auto" w:fill="auto"/>
          </w:tcPr>
          <w:p w14:paraId="485D8F45" w14:textId="77777777" w:rsidR="008A7963" w:rsidRPr="00B70107" w:rsidRDefault="008A7963" w:rsidP="008A7963">
            <w:pPr>
              <w:rPr>
                <w:rFonts w:cstheme="minorHAnsi"/>
                <w:sz w:val="20"/>
                <w:szCs w:val="20"/>
              </w:rPr>
            </w:pPr>
            <w:r w:rsidRPr="00B70107">
              <w:rPr>
                <w:rFonts w:cstheme="minorHAnsi"/>
                <w:sz w:val="20"/>
                <w:szCs w:val="20"/>
              </w:rPr>
              <w:t xml:space="preserve">In the 2018 report card, re-analysed data from the 2016 Scottish Health Survey was used to provide a grade for the report card. In the 2016 Scottish Health Survey, data were reported in 15-minute blocks compared to the 2019 report card which presented the number of days each child engaged in active play.  </w:t>
            </w:r>
          </w:p>
        </w:tc>
      </w:tr>
      <w:tr w:rsidR="008A7963" w:rsidRPr="00B70107" w14:paraId="34F18EFD" w14:textId="77777777" w:rsidTr="001A01DC">
        <w:tc>
          <w:tcPr>
            <w:tcW w:w="5046" w:type="dxa"/>
            <w:shd w:val="clear" w:color="auto" w:fill="auto"/>
          </w:tcPr>
          <w:p w14:paraId="78DB4BEA" w14:textId="77777777" w:rsidR="008A7963" w:rsidRPr="00B70107" w:rsidRDefault="008A7963" w:rsidP="008A7963">
            <w:pPr>
              <w:rPr>
                <w:rFonts w:cstheme="minorHAnsi"/>
                <w:bCs/>
                <w:sz w:val="20"/>
                <w:szCs w:val="20"/>
              </w:rPr>
            </w:pPr>
            <w:r w:rsidRPr="00B70107">
              <w:rPr>
                <w:rFonts w:cstheme="minorHAnsi"/>
                <w:b/>
                <w:bCs/>
                <w:sz w:val="20"/>
                <w:szCs w:val="20"/>
              </w:rPr>
              <w:t xml:space="preserve">Publication: </w:t>
            </w:r>
            <w:r w:rsidRPr="00B70107">
              <w:rPr>
                <w:rFonts w:cstheme="minorHAnsi"/>
                <w:sz w:val="20"/>
                <w:szCs w:val="20"/>
              </w:rPr>
              <w:t>Olsen, J.R., Mitchell, R., McCrorie, P. and Ellaway, A., 2019. Children's mobility and environmental exposures in urban landscapes: a cross-sectional study of 10–11 year old Scottish children. Social Science &amp; Medicine, 224, pp.11-22.</w:t>
            </w:r>
          </w:p>
          <w:p w14:paraId="0FFC5529" w14:textId="77777777" w:rsidR="008A7963" w:rsidRPr="00B70107" w:rsidRDefault="008A7963" w:rsidP="008A7963">
            <w:pPr>
              <w:rPr>
                <w:rFonts w:cstheme="minorHAnsi"/>
                <w:bCs/>
                <w:sz w:val="20"/>
                <w:szCs w:val="20"/>
              </w:rPr>
            </w:pPr>
          </w:p>
          <w:p w14:paraId="5E5BB0D4" w14:textId="77777777" w:rsidR="008A7963" w:rsidRPr="00B70107" w:rsidRDefault="00F1041F" w:rsidP="008A7963">
            <w:pPr>
              <w:rPr>
                <w:rFonts w:cstheme="minorHAnsi"/>
                <w:bCs/>
                <w:sz w:val="20"/>
                <w:szCs w:val="20"/>
              </w:rPr>
            </w:pPr>
            <w:hyperlink r:id="rId25" w:history="1">
              <w:r w:rsidR="008A7963" w:rsidRPr="00B70107">
                <w:rPr>
                  <w:rFonts w:cstheme="minorHAnsi"/>
                  <w:bCs/>
                  <w:sz w:val="20"/>
                  <w:szCs w:val="20"/>
                  <w:u w:val="single"/>
                </w:rPr>
                <w:t>https://www.sciencedirect.com/science/article/pii/S027795361930053X</w:t>
              </w:r>
            </w:hyperlink>
          </w:p>
          <w:p w14:paraId="7E9B91EC" w14:textId="77777777" w:rsidR="008A7963" w:rsidRPr="00B70107" w:rsidRDefault="008A7963" w:rsidP="008A7963">
            <w:pPr>
              <w:rPr>
                <w:rFonts w:cstheme="minorHAnsi"/>
                <w:b/>
                <w:sz w:val="20"/>
                <w:szCs w:val="20"/>
              </w:rPr>
            </w:pPr>
          </w:p>
        </w:tc>
        <w:tc>
          <w:tcPr>
            <w:tcW w:w="2265" w:type="dxa"/>
            <w:shd w:val="clear" w:color="auto" w:fill="auto"/>
          </w:tcPr>
          <w:p w14:paraId="313A13EE" w14:textId="77777777" w:rsidR="008A7963" w:rsidRPr="00B70107" w:rsidRDefault="008A7963" w:rsidP="008A7963">
            <w:pPr>
              <w:autoSpaceDE w:val="0"/>
              <w:autoSpaceDN w:val="0"/>
              <w:adjustRightInd w:val="0"/>
              <w:rPr>
                <w:rFonts w:eastAsia="HelveticaNeueLTStd-Cn" w:cstheme="minorHAnsi"/>
                <w:sz w:val="20"/>
                <w:szCs w:val="20"/>
              </w:rPr>
            </w:pPr>
            <w:r w:rsidRPr="00B70107">
              <w:rPr>
                <w:rFonts w:eastAsia="HelveticaNeueLTStd-Cn" w:cstheme="minorHAnsi"/>
                <w:sz w:val="20"/>
                <w:szCs w:val="20"/>
              </w:rPr>
              <w:t>A nationally</w:t>
            </w:r>
          </w:p>
          <w:p w14:paraId="1C1B5B6B" w14:textId="77777777" w:rsidR="008A7963" w:rsidRPr="00B70107" w:rsidRDefault="008A7963" w:rsidP="008A7963">
            <w:pPr>
              <w:rPr>
                <w:rFonts w:cstheme="minorHAnsi"/>
                <w:sz w:val="20"/>
                <w:szCs w:val="20"/>
              </w:rPr>
            </w:pPr>
            <w:r w:rsidRPr="00B70107">
              <w:rPr>
                <w:rFonts w:eastAsia="HelveticaNeueLTStd-Cn" w:cstheme="minorHAnsi"/>
                <w:sz w:val="20"/>
                <w:szCs w:val="20"/>
              </w:rPr>
              <w:t xml:space="preserve">representative sample of 10 to 11 year old children. </w:t>
            </w:r>
            <w:r w:rsidRPr="00B70107">
              <w:rPr>
                <w:rFonts w:cstheme="minorHAnsi"/>
                <w:sz w:val="20"/>
                <w:szCs w:val="20"/>
              </w:rPr>
              <w:t xml:space="preserve">2162 consented to be contacted for the accelerometery study (known as SPACES). For this study a small sample of 100 children (aged 10 and 11) living in Edinburgh and Glasgow were analysed to determine where children spent their time visiting. </w:t>
            </w:r>
          </w:p>
          <w:p w14:paraId="608ED60F" w14:textId="77777777" w:rsidR="008A7963" w:rsidRPr="00B70107" w:rsidRDefault="008A7963" w:rsidP="008A7963">
            <w:pPr>
              <w:rPr>
                <w:rFonts w:cstheme="minorHAnsi"/>
                <w:sz w:val="20"/>
                <w:szCs w:val="20"/>
              </w:rPr>
            </w:pPr>
          </w:p>
          <w:p w14:paraId="62B6F482" w14:textId="77777777" w:rsidR="008A7963" w:rsidRPr="00B70107" w:rsidRDefault="008A7963" w:rsidP="008A7963">
            <w:pPr>
              <w:rPr>
                <w:rFonts w:cstheme="minorHAnsi"/>
                <w:sz w:val="20"/>
                <w:szCs w:val="20"/>
              </w:rPr>
            </w:pPr>
          </w:p>
        </w:tc>
        <w:tc>
          <w:tcPr>
            <w:tcW w:w="2531" w:type="dxa"/>
            <w:shd w:val="clear" w:color="auto" w:fill="auto"/>
          </w:tcPr>
          <w:p w14:paraId="1FCF111F" w14:textId="77777777" w:rsidR="008A7963" w:rsidRPr="00B70107" w:rsidRDefault="008A7963" w:rsidP="008A7963">
            <w:pPr>
              <w:rPr>
                <w:rFonts w:cstheme="minorHAnsi"/>
                <w:bCs/>
                <w:sz w:val="20"/>
                <w:szCs w:val="20"/>
              </w:rPr>
            </w:pPr>
            <w:r w:rsidRPr="00B70107">
              <w:rPr>
                <w:rFonts w:cstheme="minorHAnsi"/>
                <w:bCs/>
                <w:sz w:val="20"/>
                <w:szCs w:val="20"/>
              </w:rPr>
              <w:t xml:space="preserve">Children wore GPS devices over 8 consecutive days during waking hours. Location points are recorded every 10 seconds. </w:t>
            </w:r>
          </w:p>
          <w:p w14:paraId="65D08955" w14:textId="77777777" w:rsidR="008A7963" w:rsidRPr="00B70107" w:rsidRDefault="008A7963" w:rsidP="008A7963">
            <w:pPr>
              <w:rPr>
                <w:rFonts w:cstheme="minorHAnsi"/>
                <w:bCs/>
                <w:sz w:val="20"/>
                <w:szCs w:val="20"/>
              </w:rPr>
            </w:pPr>
          </w:p>
          <w:p w14:paraId="0C316F21" w14:textId="77777777" w:rsidR="008A7963" w:rsidRPr="00B70107" w:rsidRDefault="008A7963" w:rsidP="008A7963">
            <w:pPr>
              <w:rPr>
                <w:rFonts w:cstheme="minorHAnsi"/>
                <w:bCs/>
                <w:sz w:val="20"/>
                <w:szCs w:val="20"/>
              </w:rPr>
            </w:pPr>
            <w:r w:rsidRPr="00B70107">
              <w:rPr>
                <w:rFonts w:cstheme="minorHAnsi"/>
                <w:bCs/>
                <w:sz w:val="20"/>
                <w:szCs w:val="20"/>
              </w:rPr>
              <w:t>Geographical Information Systems (GIS) were used to understand landscape characteristics, such as roads, leisure centres, and greenspace etc. using a 25m</w:t>
            </w:r>
            <w:r w:rsidRPr="00B70107">
              <w:rPr>
                <w:rFonts w:cstheme="minorHAnsi"/>
                <w:bCs/>
                <w:sz w:val="20"/>
                <w:szCs w:val="20"/>
                <w:vertAlign w:val="superscript"/>
              </w:rPr>
              <w:t xml:space="preserve">2 </w:t>
            </w:r>
            <w:r w:rsidRPr="00B70107">
              <w:rPr>
                <w:rFonts w:cstheme="minorHAnsi"/>
                <w:bCs/>
                <w:sz w:val="20"/>
                <w:szCs w:val="20"/>
              </w:rPr>
              <w:t xml:space="preserve">grid size. </w:t>
            </w:r>
          </w:p>
          <w:p w14:paraId="5F80F205" w14:textId="77777777" w:rsidR="008A7963" w:rsidRPr="00B70107" w:rsidRDefault="008A7963" w:rsidP="008A7963">
            <w:pPr>
              <w:rPr>
                <w:rFonts w:cstheme="minorHAnsi"/>
                <w:bCs/>
                <w:sz w:val="20"/>
                <w:szCs w:val="20"/>
              </w:rPr>
            </w:pPr>
          </w:p>
          <w:p w14:paraId="70D18A06" w14:textId="77777777" w:rsidR="008A7963" w:rsidRPr="00B70107" w:rsidRDefault="008A7963" w:rsidP="008A7963">
            <w:pPr>
              <w:rPr>
                <w:rFonts w:cstheme="minorHAnsi"/>
                <w:bCs/>
                <w:sz w:val="20"/>
                <w:szCs w:val="20"/>
              </w:rPr>
            </w:pPr>
            <w:r w:rsidRPr="00B70107">
              <w:rPr>
                <w:rFonts w:cstheme="minorHAnsi"/>
                <w:bCs/>
                <w:sz w:val="20"/>
                <w:szCs w:val="20"/>
              </w:rPr>
              <w:t xml:space="preserve">These methods combined inform on time spent in specific locations. </w:t>
            </w:r>
          </w:p>
        </w:tc>
        <w:tc>
          <w:tcPr>
            <w:tcW w:w="2260" w:type="dxa"/>
            <w:shd w:val="clear" w:color="auto" w:fill="auto"/>
          </w:tcPr>
          <w:p w14:paraId="31A8EAB6" w14:textId="77777777" w:rsidR="008A7963" w:rsidRPr="00B70107" w:rsidRDefault="008A7963" w:rsidP="008A7963">
            <w:pPr>
              <w:rPr>
                <w:rFonts w:cstheme="minorHAnsi"/>
                <w:bCs/>
                <w:sz w:val="20"/>
                <w:szCs w:val="20"/>
              </w:rPr>
            </w:pPr>
            <w:r w:rsidRPr="00B70107">
              <w:rPr>
                <w:rFonts w:cstheme="minorHAnsi"/>
                <w:sz w:val="20"/>
                <w:szCs w:val="20"/>
              </w:rPr>
              <w:t xml:space="preserve">Data </w:t>
            </w:r>
            <w:r w:rsidRPr="00B70107">
              <w:rPr>
                <w:rFonts w:cstheme="minorHAnsi"/>
                <w:b/>
                <w:sz w:val="20"/>
                <w:szCs w:val="20"/>
                <w:u w:val="single"/>
              </w:rPr>
              <w:t>cannot be used for grading</w:t>
            </w:r>
            <w:r w:rsidRPr="00B70107">
              <w:rPr>
                <w:rFonts w:cstheme="minorHAnsi"/>
                <w:sz w:val="20"/>
                <w:szCs w:val="20"/>
              </w:rPr>
              <w:t xml:space="preserve"> as data it is limited to a single age group (10 to 11 year olds) and analysis conducted in a small sample of children (n= 100). </w:t>
            </w:r>
          </w:p>
        </w:tc>
        <w:tc>
          <w:tcPr>
            <w:tcW w:w="1912" w:type="dxa"/>
            <w:shd w:val="clear" w:color="auto" w:fill="auto"/>
          </w:tcPr>
          <w:p w14:paraId="38411C90" w14:textId="77777777" w:rsidR="008A7963" w:rsidRPr="00B70107" w:rsidRDefault="008A7963" w:rsidP="008A7963">
            <w:pPr>
              <w:rPr>
                <w:rFonts w:cstheme="minorHAnsi"/>
                <w:b/>
                <w:sz w:val="20"/>
                <w:szCs w:val="20"/>
              </w:rPr>
            </w:pPr>
          </w:p>
        </w:tc>
      </w:tr>
      <w:tr w:rsidR="008A7963" w:rsidRPr="00B70107" w14:paraId="3531710D" w14:textId="77777777" w:rsidTr="001A01DC">
        <w:tc>
          <w:tcPr>
            <w:tcW w:w="5046" w:type="dxa"/>
            <w:tcBorders>
              <w:bottom w:val="single" w:sz="4" w:space="0" w:color="auto"/>
            </w:tcBorders>
            <w:shd w:val="clear" w:color="auto" w:fill="auto"/>
          </w:tcPr>
          <w:p w14:paraId="32074F1C" w14:textId="77777777" w:rsidR="008A7963" w:rsidRPr="00B70107" w:rsidRDefault="008A7963" w:rsidP="008A7963">
            <w:pPr>
              <w:rPr>
                <w:rFonts w:cstheme="minorHAnsi"/>
                <w:sz w:val="20"/>
                <w:szCs w:val="20"/>
              </w:rPr>
            </w:pPr>
            <w:r w:rsidRPr="00B70107">
              <w:rPr>
                <w:rFonts w:cstheme="minorHAnsi"/>
                <w:b/>
                <w:bCs/>
                <w:sz w:val="20"/>
                <w:szCs w:val="20"/>
              </w:rPr>
              <w:t xml:space="preserve">Survey: </w:t>
            </w:r>
            <w:r w:rsidRPr="00B70107">
              <w:rPr>
                <w:rFonts w:cstheme="minorHAnsi"/>
                <w:sz w:val="20"/>
                <w:szCs w:val="20"/>
              </w:rPr>
              <w:t xml:space="preserve">Findings from the HBSC 2018 survey in Scotland health behaviour in school-aged children: world health organization collaborative cross-national study </w:t>
            </w:r>
          </w:p>
          <w:p w14:paraId="5D72BEC9" w14:textId="77777777" w:rsidR="008A7963" w:rsidRPr="00B70107" w:rsidRDefault="008A7963" w:rsidP="008A7963">
            <w:pPr>
              <w:rPr>
                <w:rFonts w:cstheme="minorHAnsi"/>
                <w:sz w:val="20"/>
                <w:szCs w:val="20"/>
              </w:rPr>
            </w:pPr>
          </w:p>
          <w:p w14:paraId="160E0827" w14:textId="77777777" w:rsidR="008A7963" w:rsidRPr="00B70107" w:rsidRDefault="00F1041F" w:rsidP="008A7963">
            <w:pPr>
              <w:rPr>
                <w:rFonts w:cstheme="minorHAnsi"/>
                <w:sz w:val="20"/>
                <w:szCs w:val="20"/>
              </w:rPr>
            </w:pPr>
            <w:hyperlink r:id="rId26" w:history="1">
              <w:r w:rsidR="008A7963" w:rsidRPr="00B70107">
                <w:rPr>
                  <w:rFonts w:cstheme="minorHAnsi"/>
                  <w:sz w:val="20"/>
                  <w:szCs w:val="20"/>
                  <w:u w:val="single"/>
                </w:rPr>
                <w:t>http://www.hbsc.org/membership/countries/scotland.html</w:t>
              </w:r>
            </w:hyperlink>
          </w:p>
          <w:p w14:paraId="335B7F8F" w14:textId="77777777" w:rsidR="008A7963" w:rsidRPr="00B70107" w:rsidRDefault="008A7963" w:rsidP="008A7963">
            <w:pPr>
              <w:rPr>
                <w:rFonts w:cstheme="minorHAnsi"/>
                <w:sz w:val="20"/>
                <w:szCs w:val="20"/>
              </w:rPr>
            </w:pPr>
          </w:p>
        </w:tc>
        <w:tc>
          <w:tcPr>
            <w:tcW w:w="2265" w:type="dxa"/>
            <w:tcBorders>
              <w:bottom w:val="single" w:sz="4" w:space="0" w:color="auto"/>
            </w:tcBorders>
            <w:shd w:val="clear" w:color="auto" w:fill="auto"/>
          </w:tcPr>
          <w:p w14:paraId="58395E0D"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 xml:space="preserve">A nationally representative sample of 5286 children aged 11 years (P7), 13 years (S2) and 15 years (S4). </w:t>
            </w:r>
          </w:p>
          <w:p w14:paraId="2BD9EF0B" w14:textId="77777777" w:rsidR="008A7963" w:rsidRPr="00B70107" w:rsidRDefault="008A7963" w:rsidP="008A7963">
            <w:pPr>
              <w:rPr>
                <w:rFonts w:cstheme="minorHAnsi"/>
                <w:sz w:val="20"/>
                <w:szCs w:val="20"/>
              </w:rPr>
            </w:pPr>
          </w:p>
        </w:tc>
        <w:tc>
          <w:tcPr>
            <w:tcW w:w="2531" w:type="dxa"/>
            <w:tcBorders>
              <w:bottom w:val="single" w:sz="4" w:space="0" w:color="auto"/>
            </w:tcBorders>
            <w:shd w:val="clear" w:color="auto" w:fill="auto"/>
          </w:tcPr>
          <w:p w14:paraId="62B43610" w14:textId="77777777" w:rsidR="008A7963" w:rsidRPr="00B70107" w:rsidRDefault="008A7963" w:rsidP="008A7963">
            <w:pPr>
              <w:autoSpaceDE w:val="0"/>
              <w:autoSpaceDN w:val="0"/>
              <w:adjustRightInd w:val="0"/>
              <w:rPr>
                <w:rFonts w:cstheme="minorHAnsi"/>
                <w:sz w:val="20"/>
                <w:szCs w:val="20"/>
              </w:rPr>
            </w:pPr>
            <w:r w:rsidRPr="00B70107">
              <w:rPr>
                <w:rFonts w:cstheme="minorHAnsi"/>
                <w:b/>
                <w:bCs/>
                <w:sz w:val="20"/>
                <w:szCs w:val="20"/>
              </w:rPr>
              <w:t>Method:</w:t>
            </w:r>
            <w:r w:rsidRPr="00B70107">
              <w:rPr>
                <w:rFonts w:cstheme="minorHAnsi"/>
                <w:sz w:val="20"/>
                <w:szCs w:val="20"/>
              </w:rPr>
              <w:t xml:space="preserve"> Self-reported measure of frequency and duration of local greenspace use in the summertime (i.e. not in the past week/4 weeks) collected from 13 and 15 year olds (i.e. not 11 year olds). </w:t>
            </w:r>
          </w:p>
          <w:p w14:paraId="368ADF13" w14:textId="77777777" w:rsidR="008A7963" w:rsidRPr="00B70107" w:rsidRDefault="008A7963" w:rsidP="008A7963">
            <w:pPr>
              <w:autoSpaceDE w:val="0"/>
              <w:autoSpaceDN w:val="0"/>
              <w:adjustRightInd w:val="0"/>
              <w:rPr>
                <w:rFonts w:cstheme="minorHAnsi"/>
                <w:sz w:val="20"/>
                <w:szCs w:val="20"/>
              </w:rPr>
            </w:pPr>
            <w:r w:rsidRPr="00B70107">
              <w:rPr>
                <w:rFonts w:cstheme="minorHAnsi"/>
                <w:b/>
                <w:bCs/>
                <w:sz w:val="20"/>
                <w:szCs w:val="20"/>
              </w:rPr>
              <w:t>Questions:</w:t>
            </w:r>
            <w:r w:rsidRPr="00B70107">
              <w:rPr>
                <w:rFonts w:cstheme="minorHAnsi"/>
                <w:sz w:val="20"/>
                <w:szCs w:val="20"/>
              </w:rPr>
              <w:t xml:space="preserve"> Frequency - ‘Thinking of the summer months, out of school hours how often do you usually pass through or spend time in any of the following places in your local area? Parks, play areas, public gardens, woods, playing fields or sports pitches, golf courses, beaches, canals, rivers or by lochs or other types of natural open space, categories ranged from &lt;once a month to every day. Duration – ‘Thinking of the summer months, out of school hours how much time overall in a week do you usually spend in the following places in your local area (see examples above)? Categories ranged from None to &gt;=7 hrs/wk</w:t>
            </w:r>
          </w:p>
          <w:p w14:paraId="089CBEE3" w14:textId="77777777" w:rsidR="008A7963" w:rsidRPr="00B70107" w:rsidRDefault="008A7963" w:rsidP="008A7963">
            <w:pPr>
              <w:autoSpaceDE w:val="0"/>
              <w:autoSpaceDN w:val="0"/>
              <w:adjustRightInd w:val="0"/>
              <w:rPr>
                <w:rFonts w:ascii="Calibri" w:hAnsi="Calibri" w:cstheme="minorHAnsi"/>
                <w:sz w:val="20"/>
                <w:szCs w:val="20"/>
              </w:rPr>
            </w:pPr>
            <w:r w:rsidRPr="00B70107">
              <w:rPr>
                <w:rFonts w:cstheme="minorHAnsi"/>
                <w:sz w:val="20"/>
                <w:szCs w:val="20"/>
              </w:rPr>
              <w:t xml:space="preserve"> </w:t>
            </w:r>
          </w:p>
        </w:tc>
        <w:tc>
          <w:tcPr>
            <w:tcW w:w="2260" w:type="dxa"/>
            <w:tcBorders>
              <w:bottom w:val="single" w:sz="4" w:space="0" w:color="auto"/>
            </w:tcBorders>
            <w:shd w:val="clear" w:color="auto" w:fill="auto"/>
          </w:tcPr>
          <w:p w14:paraId="0053BBEC" w14:textId="3D194A3B" w:rsidR="008A7963" w:rsidRPr="00B70107" w:rsidRDefault="00CE5728" w:rsidP="008A7963">
            <w:pPr>
              <w:rPr>
                <w:rFonts w:cstheme="minorHAnsi"/>
                <w:bCs/>
                <w:sz w:val="20"/>
                <w:szCs w:val="20"/>
              </w:rPr>
            </w:pPr>
            <w:r w:rsidRPr="00B70107">
              <w:rPr>
                <w:rFonts w:cstheme="minorHAnsi"/>
                <w:bCs/>
                <w:sz w:val="20"/>
                <w:szCs w:val="20"/>
              </w:rPr>
              <w:t>Data cannot be used for grading as it does not fit the benchmark.</w:t>
            </w:r>
          </w:p>
        </w:tc>
        <w:tc>
          <w:tcPr>
            <w:tcW w:w="1912" w:type="dxa"/>
            <w:tcBorders>
              <w:bottom w:val="single" w:sz="4" w:space="0" w:color="auto"/>
            </w:tcBorders>
            <w:shd w:val="clear" w:color="auto" w:fill="auto"/>
          </w:tcPr>
          <w:p w14:paraId="275CFBB7" w14:textId="77777777" w:rsidR="008A7963" w:rsidRPr="00B70107" w:rsidRDefault="008A7963" w:rsidP="008A7963">
            <w:pPr>
              <w:rPr>
                <w:rFonts w:cstheme="minorHAnsi"/>
                <w:b/>
                <w:sz w:val="20"/>
                <w:szCs w:val="20"/>
              </w:rPr>
            </w:pPr>
          </w:p>
        </w:tc>
      </w:tr>
      <w:tr w:rsidR="008A7963" w:rsidRPr="00B70107" w14:paraId="40276E7E" w14:textId="77777777" w:rsidTr="001A01DC">
        <w:tc>
          <w:tcPr>
            <w:tcW w:w="5046" w:type="dxa"/>
            <w:tcBorders>
              <w:bottom w:val="single" w:sz="4" w:space="0" w:color="auto"/>
            </w:tcBorders>
            <w:shd w:val="clear" w:color="auto" w:fill="auto"/>
          </w:tcPr>
          <w:p w14:paraId="44CAD238" w14:textId="77777777" w:rsidR="008A7963" w:rsidRPr="00B70107" w:rsidRDefault="008A7963" w:rsidP="008A7963">
            <w:pPr>
              <w:rPr>
                <w:rFonts w:cstheme="minorHAnsi"/>
                <w:sz w:val="20"/>
                <w:szCs w:val="20"/>
              </w:rPr>
            </w:pPr>
            <w:r w:rsidRPr="00B70107">
              <w:rPr>
                <w:rFonts w:cstheme="minorHAnsi"/>
                <w:b/>
                <w:bCs/>
                <w:sz w:val="20"/>
                <w:szCs w:val="20"/>
              </w:rPr>
              <w:t xml:space="preserve">Publication: </w:t>
            </w:r>
            <w:r w:rsidRPr="00B70107">
              <w:rPr>
                <w:rFonts w:cstheme="minorHAnsi"/>
                <w:sz w:val="20"/>
                <w:szCs w:val="20"/>
              </w:rPr>
              <w:t>Dodd HF, FitzGibbon L, Watson BE, Nesbit RJ. Children’s Play and Independent Mobility in 2020: Results from the British Children’s Play Survey. International journal of environmental research and public health. 2021 Jan;18(8):4334.</w:t>
            </w:r>
          </w:p>
        </w:tc>
        <w:tc>
          <w:tcPr>
            <w:tcW w:w="2265" w:type="dxa"/>
            <w:tcBorders>
              <w:bottom w:val="single" w:sz="4" w:space="0" w:color="auto"/>
            </w:tcBorders>
            <w:shd w:val="clear" w:color="auto" w:fill="auto"/>
          </w:tcPr>
          <w:p w14:paraId="33EF87A9"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1,919 parents and caregivers (54% female) of children (49% female) aged 5 to 11 years (M = 8.45, SD = 1.99), of which 174 (9%) were from Scotland.</w:t>
            </w:r>
          </w:p>
          <w:p w14:paraId="073425A8" w14:textId="77777777" w:rsidR="008A7963" w:rsidRPr="00B70107" w:rsidRDefault="008A7963" w:rsidP="008A7963">
            <w:pPr>
              <w:autoSpaceDE w:val="0"/>
              <w:autoSpaceDN w:val="0"/>
              <w:adjustRightInd w:val="0"/>
              <w:rPr>
                <w:rFonts w:cstheme="minorHAnsi"/>
                <w:sz w:val="20"/>
                <w:szCs w:val="20"/>
              </w:rPr>
            </w:pPr>
          </w:p>
          <w:p w14:paraId="7695478A"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 xml:space="preserve">Although the total sample was nationally representative of Great Britain, the Scottish sample was small and is therefore not representative of Scotland as a whole. </w:t>
            </w:r>
          </w:p>
        </w:tc>
        <w:tc>
          <w:tcPr>
            <w:tcW w:w="2531" w:type="dxa"/>
            <w:tcBorders>
              <w:bottom w:val="single" w:sz="4" w:space="0" w:color="auto"/>
            </w:tcBorders>
            <w:shd w:val="clear" w:color="auto" w:fill="auto"/>
          </w:tcPr>
          <w:p w14:paraId="57E66B19" w14:textId="77777777" w:rsidR="008A7963" w:rsidRPr="00B70107" w:rsidRDefault="008A7963" w:rsidP="008A7963">
            <w:pPr>
              <w:autoSpaceDE w:val="0"/>
              <w:autoSpaceDN w:val="0"/>
              <w:adjustRightInd w:val="0"/>
              <w:rPr>
                <w:rFonts w:cstheme="minorHAnsi"/>
                <w:sz w:val="20"/>
                <w:szCs w:val="20"/>
              </w:rPr>
            </w:pPr>
            <w:r w:rsidRPr="00B70107">
              <w:rPr>
                <w:rFonts w:cstheme="minorHAnsi"/>
                <w:b/>
                <w:bCs/>
                <w:sz w:val="20"/>
                <w:szCs w:val="20"/>
              </w:rPr>
              <w:t xml:space="preserve">Method: </w:t>
            </w:r>
            <w:r w:rsidRPr="00B70107">
              <w:rPr>
                <w:rFonts w:cstheme="minorHAnsi"/>
                <w:sz w:val="20"/>
                <w:szCs w:val="20"/>
              </w:rPr>
              <w:t xml:space="preserve">The Children’s Play Scale (CPS) was used. </w:t>
            </w:r>
          </w:p>
          <w:p w14:paraId="3DA78290" w14:textId="77777777" w:rsidR="008A7963" w:rsidRPr="00B70107" w:rsidRDefault="008A7963" w:rsidP="008A7963">
            <w:pPr>
              <w:autoSpaceDE w:val="0"/>
              <w:autoSpaceDN w:val="0"/>
              <w:adjustRightInd w:val="0"/>
              <w:rPr>
                <w:rFonts w:cstheme="minorHAnsi"/>
                <w:sz w:val="20"/>
                <w:szCs w:val="20"/>
              </w:rPr>
            </w:pPr>
          </w:p>
          <w:p w14:paraId="5E48980A" w14:textId="77777777" w:rsidR="008A7963" w:rsidRPr="00B70107" w:rsidRDefault="008A7963" w:rsidP="008A7963">
            <w:pPr>
              <w:autoSpaceDE w:val="0"/>
              <w:autoSpaceDN w:val="0"/>
              <w:adjustRightInd w:val="0"/>
              <w:rPr>
                <w:rFonts w:cstheme="minorHAnsi"/>
                <w:sz w:val="20"/>
                <w:szCs w:val="20"/>
              </w:rPr>
            </w:pPr>
            <w:r w:rsidRPr="00B70107">
              <w:rPr>
                <w:rFonts w:cstheme="minorHAnsi"/>
                <w:b/>
                <w:bCs/>
                <w:sz w:val="20"/>
                <w:szCs w:val="20"/>
              </w:rPr>
              <w:t xml:space="preserve">Questions: </w:t>
            </w:r>
            <w:r w:rsidRPr="00B70107">
              <w:rPr>
                <w:rFonts w:cstheme="minorHAnsi"/>
                <w:sz w:val="20"/>
                <w:szCs w:val="20"/>
              </w:rPr>
              <w:t>The CPS asks parents about their child’s play in seven places: home or in other people’s homes; outside at home or at other people’s homes; playground; greenspace; street or public places close to home; outdoors near water; indoor play centres and pools.</w:t>
            </w:r>
          </w:p>
          <w:p w14:paraId="21FDADA6" w14:textId="77777777" w:rsidR="008A7963" w:rsidRPr="00B70107" w:rsidRDefault="008A7963" w:rsidP="008A7963">
            <w:pPr>
              <w:autoSpaceDE w:val="0"/>
              <w:autoSpaceDN w:val="0"/>
              <w:adjustRightInd w:val="0"/>
              <w:rPr>
                <w:rFonts w:cstheme="minorHAnsi"/>
                <w:sz w:val="20"/>
                <w:szCs w:val="20"/>
              </w:rPr>
            </w:pPr>
          </w:p>
          <w:p w14:paraId="1BFB7001"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Parents reported the frequency with which their child plays in each place, second, the length of time their child plays in each place and, finally, how</w:t>
            </w:r>
          </w:p>
          <w:p w14:paraId="1804A0C5"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 xml:space="preserve">adventurously their child plays in each place. </w:t>
            </w:r>
          </w:p>
          <w:p w14:paraId="04986735" w14:textId="77777777" w:rsidR="008A7963" w:rsidRPr="00B70107" w:rsidRDefault="008A7963" w:rsidP="008A7963">
            <w:pPr>
              <w:autoSpaceDE w:val="0"/>
              <w:autoSpaceDN w:val="0"/>
              <w:adjustRightInd w:val="0"/>
              <w:rPr>
                <w:rFonts w:cstheme="minorHAnsi"/>
                <w:sz w:val="20"/>
                <w:szCs w:val="20"/>
              </w:rPr>
            </w:pPr>
          </w:p>
          <w:p w14:paraId="65BC1439"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 xml:space="preserve">Questions related to risk and ae children are allowed to play outside alone were also included. </w:t>
            </w:r>
          </w:p>
        </w:tc>
        <w:tc>
          <w:tcPr>
            <w:tcW w:w="2260" w:type="dxa"/>
            <w:tcBorders>
              <w:bottom w:val="single" w:sz="4" w:space="0" w:color="auto"/>
            </w:tcBorders>
            <w:shd w:val="clear" w:color="auto" w:fill="auto"/>
          </w:tcPr>
          <w:p w14:paraId="7B60C2D8" w14:textId="0BE615BC" w:rsidR="008A7963" w:rsidRPr="00B70107" w:rsidRDefault="008A7963" w:rsidP="008A7963">
            <w:pPr>
              <w:rPr>
                <w:rFonts w:cstheme="minorHAnsi"/>
                <w:b/>
                <w:bCs/>
                <w:sz w:val="20"/>
                <w:szCs w:val="20"/>
              </w:rPr>
            </w:pPr>
            <w:r w:rsidRPr="00B70107">
              <w:rPr>
                <w:rFonts w:cstheme="minorHAnsi"/>
                <w:sz w:val="20"/>
                <w:szCs w:val="20"/>
              </w:rPr>
              <w:t xml:space="preserve">Data </w:t>
            </w:r>
            <w:r w:rsidRPr="00B70107">
              <w:rPr>
                <w:rFonts w:cstheme="minorHAnsi"/>
                <w:b/>
                <w:sz w:val="20"/>
                <w:szCs w:val="20"/>
                <w:u w:val="single"/>
              </w:rPr>
              <w:t>cannot be used for grading</w:t>
            </w:r>
            <w:r w:rsidRPr="00B70107">
              <w:rPr>
                <w:rFonts w:cstheme="minorHAnsi"/>
                <w:sz w:val="20"/>
                <w:szCs w:val="20"/>
              </w:rPr>
              <w:t xml:space="preserve"> as sample is </w:t>
            </w:r>
            <w:r w:rsidR="00CE5728" w:rsidRPr="00B70107">
              <w:rPr>
                <w:rFonts w:cstheme="minorHAnsi"/>
                <w:sz w:val="20"/>
                <w:szCs w:val="20"/>
              </w:rPr>
              <w:t xml:space="preserve">small and </w:t>
            </w:r>
            <w:r w:rsidRPr="00B70107">
              <w:rPr>
                <w:rFonts w:cstheme="minorHAnsi"/>
                <w:sz w:val="20"/>
                <w:szCs w:val="20"/>
              </w:rPr>
              <w:t>not nationally representative of Scotland.</w:t>
            </w:r>
          </w:p>
        </w:tc>
        <w:tc>
          <w:tcPr>
            <w:tcW w:w="1912" w:type="dxa"/>
            <w:tcBorders>
              <w:bottom w:val="single" w:sz="4" w:space="0" w:color="auto"/>
            </w:tcBorders>
            <w:shd w:val="clear" w:color="auto" w:fill="auto"/>
          </w:tcPr>
          <w:p w14:paraId="4A1FC723" w14:textId="77777777" w:rsidR="008A7963" w:rsidRPr="00B70107" w:rsidRDefault="008A7963" w:rsidP="008A7963">
            <w:pPr>
              <w:rPr>
                <w:rFonts w:cstheme="minorHAnsi"/>
                <w:b/>
                <w:sz w:val="20"/>
                <w:szCs w:val="20"/>
              </w:rPr>
            </w:pPr>
          </w:p>
        </w:tc>
      </w:tr>
      <w:tr w:rsidR="008A7963" w:rsidRPr="00B70107" w14:paraId="1C142E42" w14:textId="77777777" w:rsidTr="001A01DC">
        <w:tc>
          <w:tcPr>
            <w:tcW w:w="5046" w:type="dxa"/>
            <w:tcBorders>
              <w:top w:val="single" w:sz="4" w:space="0" w:color="auto"/>
            </w:tcBorders>
          </w:tcPr>
          <w:p w14:paraId="43C6BD60" w14:textId="77777777" w:rsidR="008A7963" w:rsidRPr="00B70107" w:rsidRDefault="008A7963" w:rsidP="008A7963">
            <w:pPr>
              <w:rPr>
                <w:rFonts w:cstheme="minorHAnsi"/>
                <w:b/>
                <w:bCs/>
                <w:sz w:val="20"/>
                <w:szCs w:val="20"/>
              </w:rPr>
            </w:pPr>
            <w:r w:rsidRPr="00B70107">
              <w:rPr>
                <w:rFonts w:cstheme="minorHAnsi"/>
                <w:b/>
                <w:bCs/>
                <w:sz w:val="20"/>
                <w:szCs w:val="20"/>
              </w:rPr>
              <w:t xml:space="preserve">Survey: </w:t>
            </w:r>
            <w:r w:rsidRPr="00B70107">
              <w:rPr>
                <w:rFonts w:cstheme="minorHAnsi"/>
                <w:sz w:val="20"/>
                <w:szCs w:val="20"/>
              </w:rPr>
              <w:t>Public Health Scotland,</w:t>
            </w:r>
            <w:r w:rsidRPr="00B70107">
              <w:rPr>
                <w:rFonts w:cstheme="minorHAnsi"/>
                <w:b/>
                <w:bCs/>
                <w:sz w:val="20"/>
                <w:szCs w:val="20"/>
              </w:rPr>
              <w:t xml:space="preserve"> </w:t>
            </w:r>
            <w:r w:rsidRPr="00B70107">
              <w:rPr>
                <w:rFonts w:cstheme="minorHAnsi"/>
                <w:sz w:val="20"/>
                <w:szCs w:val="20"/>
              </w:rPr>
              <w:t>COVID-19 Early years resilience and impact survey (CEYRIS) - Report 2 - Play and learning, outdoors and social interactions</w:t>
            </w:r>
          </w:p>
          <w:p w14:paraId="3A5BF167" w14:textId="77777777" w:rsidR="008A7963" w:rsidRPr="00B70107" w:rsidRDefault="008A7963" w:rsidP="008A7963">
            <w:pPr>
              <w:rPr>
                <w:rFonts w:cstheme="minorHAnsi"/>
                <w:b/>
                <w:bCs/>
                <w:sz w:val="20"/>
                <w:szCs w:val="20"/>
              </w:rPr>
            </w:pPr>
          </w:p>
          <w:p w14:paraId="7448DAF9" w14:textId="77777777" w:rsidR="008A7963" w:rsidRPr="00B70107" w:rsidRDefault="00F1041F" w:rsidP="008A7963">
            <w:pPr>
              <w:rPr>
                <w:rFonts w:cstheme="minorHAnsi"/>
                <w:sz w:val="20"/>
                <w:szCs w:val="20"/>
              </w:rPr>
            </w:pPr>
            <w:hyperlink r:id="rId27" w:history="1">
              <w:r w:rsidR="008A7963" w:rsidRPr="00B70107">
                <w:rPr>
                  <w:rFonts w:cstheme="minorHAnsi"/>
                  <w:sz w:val="20"/>
                  <w:szCs w:val="20"/>
                  <w:u w:val="single"/>
                </w:rPr>
                <w:t>http://www.healthscotland.scot/publications/covid-19-early-years-resilience-and-impact-survey-ceyris</w:t>
              </w:r>
            </w:hyperlink>
          </w:p>
          <w:p w14:paraId="2A058B81" w14:textId="77777777" w:rsidR="008A7963" w:rsidRPr="00B70107" w:rsidRDefault="008A7963" w:rsidP="008A7963">
            <w:pPr>
              <w:rPr>
                <w:rFonts w:cstheme="minorHAnsi"/>
                <w:b/>
                <w:bCs/>
                <w:sz w:val="20"/>
                <w:szCs w:val="20"/>
              </w:rPr>
            </w:pPr>
          </w:p>
        </w:tc>
        <w:tc>
          <w:tcPr>
            <w:tcW w:w="2265" w:type="dxa"/>
            <w:tcBorders>
              <w:top w:val="single" w:sz="4" w:space="0" w:color="auto"/>
            </w:tcBorders>
          </w:tcPr>
          <w:p w14:paraId="31C58FE2"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Parents and carers of over 11,234 children aged 2–7-year-olds in Scotland.</w:t>
            </w:r>
          </w:p>
          <w:p w14:paraId="032D978A" w14:textId="77777777" w:rsidR="008A7963" w:rsidRPr="00B70107" w:rsidRDefault="008A7963" w:rsidP="008A7963">
            <w:pPr>
              <w:autoSpaceDE w:val="0"/>
              <w:autoSpaceDN w:val="0"/>
              <w:adjustRightInd w:val="0"/>
              <w:rPr>
                <w:rFonts w:cstheme="minorHAnsi"/>
                <w:sz w:val="20"/>
                <w:szCs w:val="20"/>
              </w:rPr>
            </w:pPr>
          </w:p>
          <w:p w14:paraId="071B32B9"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The sample was not representative and, therefore, results represent the views of the parents and carers who answered our survey.</w:t>
            </w:r>
          </w:p>
          <w:p w14:paraId="39758F6B"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 xml:space="preserve">  </w:t>
            </w:r>
          </w:p>
        </w:tc>
        <w:tc>
          <w:tcPr>
            <w:tcW w:w="2531" w:type="dxa"/>
            <w:tcBorders>
              <w:top w:val="single" w:sz="4" w:space="0" w:color="auto"/>
            </w:tcBorders>
          </w:tcPr>
          <w:p w14:paraId="6E0BCCC8"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Method: Unweighted cross-sectional study. Parents completed the survey for their child (focus one child, but could be completed a number of times)</w:t>
            </w:r>
          </w:p>
          <w:p w14:paraId="55BC0C2A" w14:textId="77777777" w:rsidR="008A7963" w:rsidRPr="00B70107" w:rsidRDefault="008A7963" w:rsidP="008A7963">
            <w:pPr>
              <w:autoSpaceDE w:val="0"/>
              <w:autoSpaceDN w:val="0"/>
              <w:adjustRightInd w:val="0"/>
              <w:rPr>
                <w:rFonts w:cstheme="minorHAnsi"/>
                <w:sz w:val="20"/>
                <w:szCs w:val="20"/>
              </w:rPr>
            </w:pPr>
          </w:p>
          <w:p w14:paraId="2A2B9CAC"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The first round of the survey ran between 22</w:t>
            </w:r>
            <w:r w:rsidRPr="00B70107">
              <w:rPr>
                <w:rFonts w:cstheme="minorHAnsi"/>
                <w:sz w:val="20"/>
                <w:szCs w:val="20"/>
                <w:vertAlign w:val="superscript"/>
              </w:rPr>
              <w:t>nd</w:t>
            </w:r>
            <w:r w:rsidRPr="00B70107">
              <w:rPr>
                <w:rFonts w:cstheme="minorHAnsi"/>
                <w:sz w:val="20"/>
                <w:szCs w:val="20"/>
              </w:rPr>
              <w:t xml:space="preserve"> June and 6</w:t>
            </w:r>
            <w:r w:rsidRPr="00B70107">
              <w:rPr>
                <w:rFonts w:cstheme="minorHAnsi"/>
                <w:sz w:val="20"/>
                <w:szCs w:val="20"/>
                <w:vertAlign w:val="superscript"/>
              </w:rPr>
              <w:t>th</w:t>
            </w:r>
            <w:r w:rsidRPr="00B70107">
              <w:rPr>
                <w:rFonts w:cstheme="minorHAnsi"/>
                <w:sz w:val="20"/>
                <w:szCs w:val="20"/>
              </w:rPr>
              <w:t xml:space="preserve"> July 2020. </w:t>
            </w:r>
          </w:p>
          <w:p w14:paraId="66263E29" w14:textId="77777777" w:rsidR="008A7963" w:rsidRPr="00B70107" w:rsidRDefault="008A7963" w:rsidP="008A7963">
            <w:pPr>
              <w:autoSpaceDE w:val="0"/>
              <w:autoSpaceDN w:val="0"/>
              <w:adjustRightInd w:val="0"/>
              <w:rPr>
                <w:rFonts w:cstheme="minorHAnsi"/>
                <w:sz w:val="20"/>
                <w:szCs w:val="20"/>
              </w:rPr>
            </w:pPr>
          </w:p>
          <w:p w14:paraId="642B9644" w14:textId="77777777" w:rsidR="008A7963" w:rsidRPr="00B70107" w:rsidRDefault="008A7963" w:rsidP="008A7963">
            <w:pPr>
              <w:autoSpaceDE w:val="0"/>
              <w:autoSpaceDN w:val="0"/>
              <w:adjustRightInd w:val="0"/>
              <w:rPr>
                <w:rFonts w:cstheme="minorHAnsi"/>
                <w:sz w:val="20"/>
                <w:szCs w:val="20"/>
              </w:rPr>
            </w:pPr>
            <w:r w:rsidRPr="00B70107">
              <w:rPr>
                <w:rFonts w:cstheme="minorHAnsi"/>
                <w:sz w:val="20"/>
                <w:szCs w:val="20"/>
              </w:rPr>
              <w:t>Questions:  How would you rate the following areas of your child’s life now compared to how it was before the lockdown?</w:t>
            </w:r>
          </w:p>
          <w:p w14:paraId="773093B4" w14:textId="77777777" w:rsidR="008A7963" w:rsidRPr="00B70107" w:rsidRDefault="008A7963" w:rsidP="008A7963">
            <w:pPr>
              <w:autoSpaceDE w:val="0"/>
              <w:autoSpaceDN w:val="0"/>
              <w:adjustRightInd w:val="0"/>
              <w:rPr>
                <w:rFonts w:cstheme="minorHAnsi"/>
                <w:sz w:val="20"/>
                <w:szCs w:val="20"/>
              </w:rPr>
            </w:pPr>
          </w:p>
          <w:p w14:paraId="1D9F5AE7" w14:textId="77777777" w:rsidR="008A7963" w:rsidRPr="00B70107" w:rsidRDefault="008A7963" w:rsidP="008A7963">
            <w:pPr>
              <w:numPr>
                <w:ilvl w:val="0"/>
                <w:numId w:val="4"/>
              </w:numPr>
              <w:autoSpaceDE w:val="0"/>
              <w:autoSpaceDN w:val="0"/>
              <w:adjustRightInd w:val="0"/>
              <w:rPr>
                <w:rFonts w:cstheme="minorHAnsi"/>
                <w:sz w:val="20"/>
                <w:szCs w:val="20"/>
              </w:rPr>
            </w:pPr>
            <w:r w:rsidRPr="00B70107">
              <w:rPr>
                <w:rFonts w:cstheme="minorHAnsi"/>
                <w:sz w:val="20"/>
                <w:szCs w:val="20"/>
              </w:rPr>
              <w:t xml:space="preserve">Time spent outdoors? (Rated: much worse, worse, about the same, better, much better). </w:t>
            </w:r>
          </w:p>
          <w:p w14:paraId="056F02CC" w14:textId="77777777" w:rsidR="008A7963" w:rsidRPr="00B70107" w:rsidRDefault="008A7963" w:rsidP="008A7963">
            <w:pPr>
              <w:numPr>
                <w:ilvl w:val="0"/>
                <w:numId w:val="4"/>
              </w:numPr>
              <w:autoSpaceDE w:val="0"/>
              <w:autoSpaceDN w:val="0"/>
              <w:adjustRightInd w:val="0"/>
              <w:rPr>
                <w:rFonts w:cstheme="minorHAnsi"/>
                <w:sz w:val="20"/>
                <w:szCs w:val="20"/>
              </w:rPr>
            </w:pPr>
            <w:r w:rsidRPr="00B70107">
              <w:rPr>
                <w:rFonts w:cstheme="minorHAnsi"/>
                <w:sz w:val="20"/>
                <w:szCs w:val="20"/>
              </w:rPr>
              <w:t>Number of days the child played outside in the last week (Rated: everyday, most days (4-6), some days (1-3 days), none.)</w:t>
            </w:r>
          </w:p>
          <w:p w14:paraId="0ECB0C67" w14:textId="77777777" w:rsidR="008A7963" w:rsidRPr="00B70107" w:rsidRDefault="008A7963" w:rsidP="008A7963">
            <w:pPr>
              <w:numPr>
                <w:ilvl w:val="0"/>
                <w:numId w:val="4"/>
              </w:numPr>
              <w:autoSpaceDE w:val="0"/>
              <w:autoSpaceDN w:val="0"/>
              <w:adjustRightInd w:val="0"/>
              <w:rPr>
                <w:rFonts w:cstheme="minorHAnsi"/>
                <w:sz w:val="20"/>
                <w:szCs w:val="20"/>
              </w:rPr>
            </w:pPr>
            <w:r w:rsidRPr="00B70107">
              <w:rPr>
                <w:rFonts w:cstheme="minorHAnsi"/>
                <w:sz w:val="20"/>
                <w:szCs w:val="20"/>
              </w:rPr>
              <w:t>Number of days the child has been to a park or other greenspace in the local area (Rated: as above).</w:t>
            </w:r>
          </w:p>
          <w:p w14:paraId="1EA7790D" w14:textId="77777777" w:rsidR="008A7963" w:rsidRPr="00B70107" w:rsidRDefault="008A7963" w:rsidP="008A7963">
            <w:pPr>
              <w:autoSpaceDE w:val="0"/>
              <w:autoSpaceDN w:val="0"/>
              <w:adjustRightInd w:val="0"/>
              <w:rPr>
                <w:rFonts w:cstheme="minorHAnsi"/>
                <w:sz w:val="20"/>
                <w:szCs w:val="20"/>
              </w:rPr>
            </w:pPr>
          </w:p>
        </w:tc>
        <w:tc>
          <w:tcPr>
            <w:tcW w:w="2260" w:type="dxa"/>
            <w:tcBorders>
              <w:top w:val="single" w:sz="4" w:space="0" w:color="auto"/>
            </w:tcBorders>
          </w:tcPr>
          <w:p w14:paraId="19DBB2F4" w14:textId="77777777" w:rsidR="008A7963" w:rsidRPr="00B70107" w:rsidRDefault="008A7963" w:rsidP="008A7963">
            <w:pPr>
              <w:rPr>
                <w:rFonts w:cstheme="minorHAnsi"/>
                <w:sz w:val="20"/>
                <w:szCs w:val="20"/>
              </w:rPr>
            </w:pPr>
            <w:r w:rsidRPr="00B70107">
              <w:rPr>
                <w:rFonts w:cstheme="minorHAnsi"/>
                <w:sz w:val="20"/>
                <w:szCs w:val="20"/>
              </w:rPr>
              <w:t xml:space="preserve">Data </w:t>
            </w:r>
            <w:r w:rsidRPr="00B70107">
              <w:rPr>
                <w:rFonts w:cstheme="minorHAnsi"/>
                <w:b/>
                <w:sz w:val="20"/>
                <w:szCs w:val="20"/>
                <w:u w:val="single"/>
              </w:rPr>
              <w:t>cannot be used for grading</w:t>
            </w:r>
            <w:r w:rsidRPr="00B70107">
              <w:rPr>
                <w:rFonts w:cstheme="minorHAnsi"/>
                <w:sz w:val="20"/>
                <w:szCs w:val="20"/>
              </w:rPr>
              <w:t xml:space="preserve"> as sample is not nationally representative (under representation of lower-income families) and surveys parents of children during the COVID-19 pandemic (June and July 2020).</w:t>
            </w:r>
          </w:p>
        </w:tc>
        <w:tc>
          <w:tcPr>
            <w:tcW w:w="1912" w:type="dxa"/>
            <w:tcBorders>
              <w:top w:val="single" w:sz="4" w:space="0" w:color="auto"/>
            </w:tcBorders>
          </w:tcPr>
          <w:p w14:paraId="1C6CFC35" w14:textId="77777777" w:rsidR="008A7963" w:rsidRPr="00B70107" w:rsidRDefault="008A7963" w:rsidP="008A7963">
            <w:pPr>
              <w:rPr>
                <w:rFonts w:cstheme="minorHAnsi"/>
                <w:b/>
                <w:sz w:val="20"/>
                <w:szCs w:val="20"/>
              </w:rPr>
            </w:pPr>
          </w:p>
        </w:tc>
      </w:tr>
    </w:tbl>
    <w:p w14:paraId="4D3F6BDF" w14:textId="284B8435" w:rsidR="008A7963" w:rsidRPr="00B70107" w:rsidRDefault="008A7963" w:rsidP="008A7963">
      <w:pPr>
        <w:rPr>
          <w:lang w:eastAsia="en-GB"/>
        </w:rPr>
      </w:pPr>
    </w:p>
    <w:p w14:paraId="1699E92F" w14:textId="3EA35758" w:rsidR="00CE5728" w:rsidRPr="00B70107" w:rsidRDefault="00CE5728" w:rsidP="008A7963">
      <w:pPr>
        <w:rPr>
          <w:lang w:eastAsia="en-GB"/>
        </w:rPr>
      </w:pPr>
      <w:r w:rsidRPr="00B70107">
        <w:rPr>
          <w:lang w:eastAsia="en-GB"/>
        </w:rPr>
        <w:br w:type="page"/>
      </w:r>
    </w:p>
    <w:p w14:paraId="1B5A936D" w14:textId="4EEEB541" w:rsidR="00EB4260" w:rsidRPr="00B70107" w:rsidRDefault="00EB4260" w:rsidP="008A7963">
      <w:pPr>
        <w:rPr>
          <w:b/>
          <w:sz w:val="28"/>
          <w:szCs w:val="28"/>
          <w:lang w:eastAsia="en-GB"/>
        </w:rPr>
      </w:pPr>
      <w:r w:rsidRPr="00B70107">
        <w:rPr>
          <w:b/>
          <w:sz w:val="28"/>
          <w:szCs w:val="28"/>
          <w:lang w:eastAsia="en-GB"/>
        </w:rPr>
        <w:t xml:space="preserve">Table 2 Data Considered for the Active </w:t>
      </w:r>
      <w:r w:rsidR="004B33C5" w:rsidRPr="00B70107">
        <w:rPr>
          <w:b/>
          <w:sz w:val="28"/>
          <w:szCs w:val="28"/>
          <w:lang w:eastAsia="en-GB"/>
        </w:rPr>
        <w:t>Transportation</w:t>
      </w:r>
      <w:r w:rsidR="00B70107">
        <w:rPr>
          <w:b/>
          <w:sz w:val="28"/>
          <w:szCs w:val="28"/>
          <w:lang w:eastAsia="en-GB"/>
        </w:rPr>
        <w:t xml:space="preserve"> Indicator</w:t>
      </w:r>
    </w:p>
    <w:tbl>
      <w:tblPr>
        <w:tblStyle w:val="TableGrid"/>
        <w:tblW w:w="0" w:type="auto"/>
        <w:tblLayout w:type="fixed"/>
        <w:tblLook w:val="04A0" w:firstRow="1" w:lastRow="0" w:firstColumn="1" w:lastColumn="0" w:noHBand="0" w:noVBand="1"/>
      </w:tblPr>
      <w:tblGrid>
        <w:gridCol w:w="2405"/>
        <w:gridCol w:w="1701"/>
        <w:gridCol w:w="2693"/>
        <w:gridCol w:w="3969"/>
        <w:gridCol w:w="3180"/>
      </w:tblGrid>
      <w:tr w:rsidR="000263E9" w:rsidRPr="00B70107" w14:paraId="6C8FA5DD" w14:textId="77777777" w:rsidTr="001A01DC">
        <w:tc>
          <w:tcPr>
            <w:tcW w:w="2405" w:type="dxa"/>
          </w:tcPr>
          <w:p w14:paraId="540AAB1E" w14:textId="77777777" w:rsidR="000263E9" w:rsidRPr="00B70107" w:rsidRDefault="000263E9" w:rsidP="001A01DC">
            <w:pPr>
              <w:rPr>
                <w:b/>
                <w:bCs/>
                <w:sz w:val="20"/>
                <w:szCs w:val="20"/>
              </w:rPr>
            </w:pPr>
            <w:r w:rsidRPr="00B70107">
              <w:rPr>
                <w:b/>
                <w:bCs/>
                <w:sz w:val="20"/>
                <w:szCs w:val="20"/>
              </w:rPr>
              <w:t>Survey name, year data collected, name of the report and year report published and link(s) to the document/survey</w:t>
            </w:r>
          </w:p>
        </w:tc>
        <w:tc>
          <w:tcPr>
            <w:tcW w:w="1701" w:type="dxa"/>
          </w:tcPr>
          <w:p w14:paraId="38537E08" w14:textId="77777777" w:rsidR="000263E9" w:rsidRPr="00B70107" w:rsidRDefault="000263E9" w:rsidP="001A01DC">
            <w:pPr>
              <w:rPr>
                <w:b/>
                <w:bCs/>
                <w:sz w:val="20"/>
                <w:szCs w:val="20"/>
              </w:rPr>
            </w:pPr>
            <w:r w:rsidRPr="00B70107">
              <w:rPr>
                <w:b/>
                <w:bCs/>
                <w:sz w:val="20"/>
                <w:szCs w:val="20"/>
              </w:rPr>
              <w:t>Details of participants</w:t>
            </w:r>
          </w:p>
        </w:tc>
        <w:tc>
          <w:tcPr>
            <w:tcW w:w="2693" w:type="dxa"/>
          </w:tcPr>
          <w:p w14:paraId="7616D477" w14:textId="77777777" w:rsidR="000263E9" w:rsidRPr="00B70107" w:rsidRDefault="000263E9" w:rsidP="001A01DC">
            <w:pPr>
              <w:rPr>
                <w:b/>
                <w:bCs/>
                <w:sz w:val="20"/>
                <w:szCs w:val="20"/>
              </w:rPr>
            </w:pPr>
            <w:r w:rsidRPr="00B70107">
              <w:rPr>
                <w:b/>
                <w:bCs/>
                <w:sz w:val="20"/>
                <w:szCs w:val="20"/>
              </w:rPr>
              <w:t>Method of measurement (including the questions asked in the survey to measure the indicator)</w:t>
            </w:r>
          </w:p>
        </w:tc>
        <w:tc>
          <w:tcPr>
            <w:tcW w:w="3969" w:type="dxa"/>
          </w:tcPr>
          <w:p w14:paraId="64E1D815" w14:textId="77777777" w:rsidR="000263E9" w:rsidRPr="00B70107" w:rsidRDefault="000263E9" w:rsidP="001A01DC">
            <w:pPr>
              <w:rPr>
                <w:b/>
                <w:bCs/>
                <w:sz w:val="20"/>
                <w:szCs w:val="20"/>
              </w:rPr>
            </w:pPr>
            <w:r w:rsidRPr="00B70107">
              <w:rPr>
                <w:b/>
                <w:bCs/>
                <w:sz w:val="20"/>
                <w:szCs w:val="20"/>
              </w:rPr>
              <w:t>Findings</w:t>
            </w:r>
          </w:p>
        </w:tc>
        <w:tc>
          <w:tcPr>
            <w:tcW w:w="3180" w:type="dxa"/>
          </w:tcPr>
          <w:p w14:paraId="472B8B66" w14:textId="77777777" w:rsidR="000263E9" w:rsidRPr="00B70107" w:rsidRDefault="000263E9" w:rsidP="001A01DC">
            <w:pPr>
              <w:rPr>
                <w:b/>
                <w:bCs/>
                <w:sz w:val="20"/>
                <w:szCs w:val="20"/>
              </w:rPr>
            </w:pPr>
            <w:r w:rsidRPr="00B70107">
              <w:rPr>
                <w:b/>
                <w:bCs/>
                <w:sz w:val="20"/>
                <w:szCs w:val="20"/>
              </w:rPr>
              <w:t>Additional comments</w:t>
            </w:r>
          </w:p>
        </w:tc>
      </w:tr>
      <w:tr w:rsidR="000263E9" w:rsidRPr="00B70107" w14:paraId="6D07C89C" w14:textId="77777777" w:rsidTr="001A01DC">
        <w:tc>
          <w:tcPr>
            <w:tcW w:w="2405" w:type="dxa"/>
          </w:tcPr>
          <w:p w14:paraId="5DDAF902" w14:textId="77777777" w:rsidR="000263E9" w:rsidRPr="00B70107" w:rsidRDefault="000263E9" w:rsidP="001A01DC">
            <w:pPr>
              <w:rPr>
                <w:b/>
                <w:bCs/>
                <w:sz w:val="20"/>
                <w:szCs w:val="20"/>
              </w:rPr>
            </w:pPr>
            <w:r w:rsidRPr="00B70107">
              <w:rPr>
                <w:b/>
                <w:bCs/>
                <w:sz w:val="20"/>
                <w:szCs w:val="20"/>
              </w:rPr>
              <w:t>Travel to School in Scotland</w:t>
            </w:r>
          </w:p>
          <w:p w14:paraId="348FA6F5" w14:textId="77777777" w:rsidR="000263E9" w:rsidRPr="00B70107" w:rsidRDefault="000263E9" w:rsidP="001A01DC">
            <w:pPr>
              <w:rPr>
                <w:sz w:val="20"/>
                <w:szCs w:val="20"/>
              </w:rPr>
            </w:pPr>
            <w:r w:rsidRPr="00B70107">
              <w:rPr>
                <w:sz w:val="20"/>
                <w:szCs w:val="20"/>
              </w:rPr>
              <w:t>Hands Up Scotland Survey 2019:</w:t>
            </w:r>
          </w:p>
          <w:p w14:paraId="0604C7B2" w14:textId="77777777" w:rsidR="000263E9" w:rsidRPr="00B70107" w:rsidRDefault="000263E9" w:rsidP="001A01DC">
            <w:pPr>
              <w:rPr>
                <w:sz w:val="20"/>
                <w:szCs w:val="20"/>
              </w:rPr>
            </w:pPr>
            <w:r w:rsidRPr="00B70107">
              <w:rPr>
                <w:sz w:val="20"/>
                <w:szCs w:val="20"/>
              </w:rPr>
              <w:t>National Summary Report</w:t>
            </w:r>
          </w:p>
          <w:p w14:paraId="006D9E1B" w14:textId="77777777" w:rsidR="000263E9" w:rsidRPr="00B70107" w:rsidRDefault="000263E9" w:rsidP="001A01DC">
            <w:pPr>
              <w:rPr>
                <w:sz w:val="20"/>
                <w:szCs w:val="20"/>
              </w:rPr>
            </w:pPr>
          </w:p>
          <w:p w14:paraId="08572C42" w14:textId="77777777" w:rsidR="000263E9" w:rsidRPr="00B70107" w:rsidRDefault="000263E9" w:rsidP="001A01DC">
            <w:pPr>
              <w:rPr>
                <w:sz w:val="20"/>
                <w:szCs w:val="20"/>
              </w:rPr>
            </w:pPr>
            <w:r w:rsidRPr="00B70107">
              <w:rPr>
                <w:sz w:val="20"/>
                <w:szCs w:val="20"/>
              </w:rPr>
              <w:t xml:space="preserve">Link: </w:t>
            </w:r>
            <w:hyperlink r:id="rId28" w:history="1">
              <w:r w:rsidRPr="00B70107">
                <w:rPr>
                  <w:rStyle w:val="Hyperlink"/>
                  <w:color w:val="auto"/>
                  <w:sz w:val="20"/>
                  <w:szCs w:val="20"/>
                </w:rPr>
                <w:t>https://www.sustrans.org.uk/media/6692/hands-up-scotland-survey-2019_national-summary-report.pdf</w:t>
              </w:r>
            </w:hyperlink>
            <w:r w:rsidRPr="00B70107">
              <w:rPr>
                <w:sz w:val="20"/>
                <w:szCs w:val="20"/>
              </w:rPr>
              <w:t xml:space="preserve"> </w:t>
            </w:r>
          </w:p>
          <w:p w14:paraId="1349872B" w14:textId="77777777" w:rsidR="000263E9" w:rsidRPr="00B70107" w:rsidRDefault="000263E9" w:rsidP="001A01DC">
            <w:pPr>
              <w:rPr>
                <w:sz w:val="20"/>
                <w:szCs w:val="20"/>
              </w:rPr>
            </w:pPr>
          </w:p>
          <w:p w14:paraId="06D33B87" w14:textId="77777777" w:rsidR="000263E9" w:rsidRPr="00B70107" w:rsidRDefault="000263E9" w:rsidP="001A01DC">
            <w:pPr>
              <w:rPr>
                <w:sz w:val="20"/>
                <w:szCs w:val="20"/>
              </w:rPr>
            </w:pPr>
            <w:r w:rsidRPr="00B70107">
              <w:rPr>
                <w:sz w:val="20"/>
                <w:szCs w:val="20"/>
              </w:rPr>
              <w:t>(Published June 2020)</w:t>
            </w:r>
          </w:p>
        </w:tc>
        <w:tc>
          <w:tcPr>
            <w:tcW w:w="1701" w:type="dxa"/>
          </w:tcPr>
          <w:p w14:paraId="709F5D07" w14:textId="77777777" w:rsidR="000263E9" w:rsidRPr="00B70107" w:rsidRDefault="000263E9" w:rsidP="001A01DC">
            <w:pPr>
              <w:rPr>
                <w:sz w:val="20"/>
                <w:szCs w:val="20"/>
              </w:rPr>
            </w:pPr>
            <w:r w:rsidRPr="00B70107">
              <w:rPr>
                <w:sz w:val="20"/>
                <w:szCs w:val="20"/>
              </w:rPr>
              <w:t xml:space="preserve">Nationally representative survey from </w:t>
            </w:r>
            <w:r w:rsidRPr="00B70107">
              <w:rPr>
                <w:b/>
                <w:bCs/>
                <w:sz w:val="20"/>
                <w:szCs w:val="20"/>
              </w:rPr>
              <w:t>n=35,552 nursery children</w:t>
            </w:r>
            <w:r w:rsidRPr="00B70107">
              <w:rPr>
                <w:sz w:val="20"/>
                <w:szCs w:val="20"/>
              </w:rPr>
              <w:t xml:space="preserve"> and </w:t>
            </w:r>
            <w:r w:rsidRPr="00B70107">
              <w:rPr>
                <w:b/>
                <w:bCs/>
                <w:sz w:val="20"/>
                <w:szCs w:val="20"/>
              </w:rPr>
              <w:t>n=472,617 school pupils</w:t>
            </w:r>
            <w:r w:rsidRPr="00B70107">
              <w:rPr>
                <w:sz w:val="20"/>
                <w:szCs w:val="20"/>
              </w:rPr>
              <w:t xml:space="preserve">, amounting to </w:t>
            </w:r>
            <w:r w:rsidRPr="00B70107">
              <w:rPr>
                <w:b/>
                <w:bCs/>
                <w:sz w:val="20"/>
                <w:szCs w:val="20"/>
              </w:rPr>
              <w:t>n=508,169</w:t>
            </w:r>
            <w:r w:rsidRPr="00B70107">
              <w:rPr>
                <w:sz w:val="20"/>
                <w:szCs w:val="20"/>
              </w:rPr>
              <w:t xml:space="preserve"> pupil responses overall. </w:t>
            </w:r>
            <w:r w:rsidRPr="00B70107">
              <w:rPr>
                <w:b/>
                <w:bCs/>
                <w:sz w:val="20"/>
                <w:szCs w:val="20"/>
              </w:rPr>
              <w:t>67.2% of all state school</w:t>
            </w:r>
            <w:r w:rsidRPr="00B70107">
              <w:rPr>
                <w:sz w:val="20"/>
                <w:szCs w:val="20"/>
              </w:rPr>
              <w:t xml:space="preserve"> pupils enrolled in Scotland participated (</w:t>
            </w:r>
            <w:r w:rsidRPr="00B70107">
              <w:rPr>
                <w:b/>
                <w:bCs/>
                <w:sz w:val="20"/>
                <w:szCs w:val="20"/>
              </w:rPr>
              <w:t>n=468,588</w:t>
            </w:r>
            <w:r w:rsidRPr="00B70107">
              <w:rPr>
                <w:sz w:val="20"/>
                <w:szCs w:val="20"/>
              </w:rPr>
              <w:t>). All 32 local authorities in Scotland participated.</w:t>
            </w:r>
          </w:p>
        </w:tc>
        <w:tc>
          <w:tcPr>
            <w:tcW w:w="2693" w:type="dxa"/>
          </w:tcPr>
          <w:p w14:paraId="2CC0D9D5" w14:textId="77777777" w:rsidR="000263E9" w:rsidRPr="00B70107" w:rsidRDefault="000263E9" w:rsidP="001A01DC">
            <w:pPr>
              <w:rPr>
                <w:sz w:val="20"/>
                <w:szCs w:val="20"/>
              </w:rPr>
            </w:pPr>
            <w:r w:rsidRPr="00B70107">
              <w:rPr>
                <w:b/>
                <w:bCs/>
                <w:sz w:val="20"/>
                <w:szCs w:val="20"/>
              </w:rPr>
              <w:t>Method</w:t>
            </w:r>
            <w:r w:rsidRPr="00B70107">
              <w:rPr>
                <w:sz w:val="20"/>
                <w:szCs w:val="20"/>
              </w:rPr>
              <w:t xml:space="preserve">: Data collection took place between the 9th and 13th of September 2019. Data collection was conducted by school staff (on a class-by-class or whole-school basis) as instructed by their local authority officer, with support from Sustrans. </w:t>
            </w:r>
          </w:p>
          <w:p w14:paraId="7D717B0B" w14:textId="77777777" w:rsidR="000263E9" w:rsidRPr="00B70107" w:rsidRDefault="000263E9" w:rsidP="001A01DC">
            <w:pPr>
              <w:rPr>
                <w:sz w:val="20"/>
                <w:szCs w:val="20"/>
              </w:rPr>
            </w:pPr>
          </w:p>
          <w:p w14:paraId="058A5DD2" w14:textId="77777777" w:rsidR="000263E9" w:rsidRPr="00B70107" w:rsidRDefault="000263E9" w:rsidP="001A01DC">
            <w:pPr>
              <w:rPr>
                <w:sz w:val="20"/>
                <w:szCs w:val="20"/>
              </w:rPr>
            </w:pPr>
            <w:r w:rsidRPr="00B70107">
              <w:rPr>
                <w:sz w:val="20"/>
                <w:szCs w:val="20"/>
              </w:rPr>
              <w:t>The question asked is, ‘</w:t>
            </w:r>
            <w:r w:rsidRPr="00B70107">
              <w:rPr>
                <w:i/>
                <w:iCs/>
                <w:sz w:val="20"/>
                <w:szCs w:val="20"/>
              </w:rPr>
              <w:t>How do you normally travel to school</w:t>
            </w:r>
            <w:r w:rsidRPr="00B70107">
              <w:rPr>
                <w:sz w:val="20"/>
                <w:szCs w:val="20"/>
              </w:rPr>
              <w:t>?’ with the following 8 response options:</w:t>
            </w:r>
          </w:p>
          <w:p w14:paraId="283DE87A" w14:textId="77777777" w:rsidR="000263E9" w:rsidRPr="00B70107" w:rsidRDefault="000263E9" w:rsidP="001A01DC">
            <w:pPr>
              <w:rPr>
                <w:sz w:val="20"/>
                <w:szCs w:val="20"/>
              </w:rPr>
            </w:pPr>
            <w:r w:rsidRPr="00B70107">
              <w:rPr>
                <w:sz w:val="20"/>
                <w:szCs w:val="20"/>
              </w:rPr>
              <w:t>1. Walk, 2. Cycle, 3. Scooter/skate, 4. Bus, 5. Park &amp; stride, 6. Driven (car), 7. Taxi, 8. Other</w:t>
            </w:r>
          </w:p>
        </w:tc>
        <w:tc>
          <w:tcPr>
            <w:tcW w:w="3969" w:type="dxa"/>
          </w:tcPr>
          <w:p w14:paraId="6A0C6A15" w14:textId="77777777" w:rsidR="000263E9" w:rsidRPr="00B70107" w:rsidRDefault="000263E9" w:rsidP="001A01DC">
            <w:pPr>
              <w:rPr>
                <w:b/>
                <w:bCs/>
                <w:sz w:val="20"/>
                <w:szCs w:val="20"/>
                <w:u w:val="single"/>
              </w:rPr>
            </w:pPr>
            <w:r w:rsidRPr="00B70107">
              <w:rPr>
                <w:b/>
                <w:bCs/>
                <w:sz w:val="20"/>
                <w:szCs w:val="20"/>
                <w:u w:val="single"/>
              </w:rPr>
              <w:t>School-going children:</w:t>
            </w:r>
          </w:p>
          <w:p w14:paraId="794E98B1" w14:textId="77777777" w:rsidR="000263E9" w:rsidRPr="00B70107" w:rsidRDefault="000263E9" w:rsidP="001A01DC">
            <w:pPr>
              <w:rPr>
                <w:b/>
                <w:bCs/>
                <w:sz w:val="20"/>
                <w:szCs w:val="20"/>
              </w:rPr>
            </w:pPr>
            <w:r w:rsidRPr="00B70107">
              <w:rPr>
                <w:b/>
                <w:bCs/>
                <w:sz w:val="20"/>
                <w:szCs w:val="20"/>
              </w:rPr>
              <w:t xml:space="preserve">Active travel: </w:t>
            </w:r>
          </w:p>
          <w:p w14:paraId="5744C22C" w14:textId="77777777" w:rsidR="000263E9" w:rsidRPr="00B70107" w:rsidRDefault="000263E9" w:rsidP="001A01DC">
            <w:pPr>
              <w:rPr>
                <w:sz w:val="20"/>
                <w:szCs w:val="20"/>
              </w:rPr>
            </w:pPr>
            <w:r w:rsidRPr="00B70107">
              <w:rPr>
                <w:sz w:val="20"/>
                <w:szCs w:val="20"/>
                <w:highlight w:val="yellow"/>
              </w:rPr>
              <w:t>47.8%</w:t>
            </w:r>
            <w:r w:rsidRPr="00B70107">
              <w:rPr>
                <w:sz w:val="20"/>
                <w:szCs w:val="20"/>
              </w:rPr>
              <w:t xml:space="preserve"> across all schools used active travel (without any form of motorised transport:</w:t>
            </w:r>
          </w:p>
          <w:p w14:paraId="03DA0634" w14:textId="77777777" w:rsidR="000263E9" w:rsidRPr="00B70107" w:rsidRDefault="000263E9" w:rsidP="001A01DC">
            <w:pPr>
              <w:rPr>
                <w:sz w:val="20"/>
                <w:szCs w:val="20"/>
              </w:rPr>
            </w:pPr>
            <w:r w:rsidRPr="00B70107">
              <w:rPr>
                <w:sz w:val="20"/>
                <w:szCs w:val="20"/>
              </w:rPr>
              <w:t>41% walked, 4% cycled, 3% skated)</w:t>
            </w:r>
          </w:p>
          <w:p w14:paraId="5E2CA1CD" w14:textId="77777777" w:rsidR="000263E9" w:rsidRPr="00B70107" w:rsidRDefault="000263E9" w:rsidP="001A01DC">
            <w:pPr>
              <w:rPr>
                <w:b/>
                <w:bCs/>
                <w:sz w:val="20"/>
                <w:szCs w:val="20"/>
              </w:rPr>
            </w:pPr>
            <w:r w:rsidRPr="00B70107">
              <w:rPr>
                <w:b/>
                <w:bCs/>
                <w:sz w:val="20"/>
                <w:szCs w:val="20"/>
              </w:rPr>
              <w:t>Public sustainable travel:</w:t>
            </w:r>
          </w:p>
          <w:p w14:paraId="7148160D" w14:textId="77777777" w:rsidR="000263E9" w:rsidRPr="00B70107" w:rsidRDefault="000263E9" w:rsidP="001A01DC">
            <w:pPr>
              <w:rPr>
                <w:sz w:val="20"/>
                <w:szCs w:val="20"/>
              </w:rPr>
            </w:pPr>
            <w:r w:rsidRPr="00B70107">
              <w:rPr>
                <w:sz w:val="20"/>
                <w:szCs w:val="20"/>
              </w:rPr>
              <w:t>16.0% travelled to school by bus.</w:t>
            </w:r>
          </w:p>
          <w:p w14:paraId="7582F618" w14:textId="77777777" w:rsidR="000263E9" w:rsidRPr="00B70107" w:rsidRDefault="000263E9" w:rsidP="001A01DC">
            <w:pPr>
              <w:rPr>
                <w:b/>
                <w:bCs/>
                <w:sz w:val="20"/>
                <w:szCs w:val="20"/>
              </w:rPr>
            </w:pPr>
            <w:r w:rsidRPr="00B70107">
              <w:rPr>
                <w:b/>
                <w:bCs/>
                <w:sz w:val="20"/>
                <w:szCs w:val="20"/>
              </w:rPr>
              <w:t>Multi-mode travel:</w:t>
            </w:r>
          </w:p>
          <w:p w14:paraId="3C27DCD9" w14:textId="77777777" w:rsidR="000263E9" w:rsidRPr="00B70107" w:rsidRDefault="000263E9" w:rsidP="001A01DC">
            <w:pPr>
              <w:rPr>
                <w:sz w:val="20"/>
                <w:szCs w:val="20"/>
              </w:rPr>
            </w:pPr>
            <w:r w:rsidRPr="00B70107">
              <w:rPr>
                <w:sz w:val="20"/>
                <w:szCs w:val="20"/>
              </w:rPr>
              <w:t>10.2% reported park and stride to school.</w:t>
            </w:r>
          </w:p>
          <w:p w14:paraId="60503A7C" w14:textId="77777777" w:rsidR="000263E9" w:rsidRPr="00B70107" w:rsidRDefault="000263E9" w:rsidP="001A01DC">
            <w:pPr>
              <w:rPr>
                <w:b/>
                <w:bCs/>
                <w:sz w:val="20"/>
                <w:szCs w:val="20"/>
                <w:u w:val="single"/>
              </w:rPr>
            </w:pPr>
          </w:p>
          <w:p w14:paraId="00E09618" w14:textId="77777777" w:rsidR="000263E9" w:rsidRPr="00B70107" w:rsidRDefault="000263E9" w:rsidP="001A01DC">
            <w:pPr>
              <w:rPr>
                <w:b/>
                <w:bCs/>
                <w:sz w:val="20"/>
                <w:szCs w:val="20"/>
                <w:u w:val="single"/>
              </w:rPr>
            </w:pPr>
            <w:r w:rsidRPr="00B70107">
              <w:rPr>
                <w:b/>
                <w:bCs/>
                <w:sz w:val="20"/>
                <w:szCs w:val="20"/>
                <w:u w:val="single"/>
              </w:rPr>
              <w:t>Nursery-going children:</w:t>
            </w:r>
          </w:p>
          <w:p w14:paraId="42EAD18A" w14:textId="77777777" w:rsidR="000263E9" w:rsidRPr="00B70107" w:rsidRDefault="000263E9" w:rsidP="001A01DC">
            <w:pPr>
              <w:rPr>
                <w:b/>
                <w:bCs/>
                <w:sz w:val="20"/>
                <w:szCs w:val="20"/>
              </w:rPr>
            </w:pPr>
            <w:r w:rsidRPr="00B70107">
              <w:rPr>
                <w:b/>
                <w:bCs/>
                <w:sz w:val="20"/>
                <w:szCs w:val="20"/>
              </w:rPr>
              <w:t>Active travel:</w:t>
            </w:r>
          </w:p>
          <w:p w14:paraId="4575652A" w14:textId="77777777" w:rsidR="000263E9" w:rsidRPr="00B70107" w:rsidRDefault="000263E9" w:rsidP="001A01DC">
            <w:pPr>
              <w:rPr>
                <w:sz w:val="20"/>
                <w:szCs w:val="20"/>
              </w:rPr>
            </w:pPr>
            <w:r w:rsidRPr="00B70107">
              <w:rPr>
                <w:sz w:val="20"/>
                <w:szCs w:val="20"/>
              </w:rPr>
              <w:t>43.0% used active travel (without any form of motorised transport: 35.9% walked, 3.9% cycled, 3.2% scooted/skated.)</w:t>
            </w:r>
          </w:p>
          <w:p w14:paraId="43B6CCE1" w14:textId="77777777" w:rsidR="000263E9" w:rsidRPr="00B70107" w:rsidRDefault="000263E9" w:rsidP="001A01DC">
            <w:pPr>
              <w:rPr>
                <w:b/>
                <w:bCs/>
                <w:sz w:val="20"/>
                <w:szCs w:val="20"/>
              </w:rPr>
            </w:pPr>
            <w:r w:rsidRPr="00B70107">
              <w:rPr>
                <w:b/>
                <w:bCs/>
                <w:sz w:val="20"/>
                <w:szCs w:val="20"/>
              </w:rPr>
              <w:t>Public sustainable travel:</w:t>
            </w:r>
          </w:p>
          <w:p w14:paraId="56DEBEA9" w14:textId="77777777" w:rsidR="000263E9" w:rsidRPr="00B70107" w:rsidRDefault="000263E9" w:rsidP="001A01DC">
            <w:pPr>
              <w:rPr>
                <w:sz w:val="20"/>
                <w:szCs w:val="20"/>
              </w:rPr>
            </w:pPr>
            <w:r w:rsidRPr="00B70107">
              <w:rPr>
                <w:sz w:val="20"/>
                <w:szCs w:val="20"/>
              </w:rPr>
              <w:t>2.9% travelled to nursery by bus.</w:t>
            </w:r>
          </w:p>
          <w:p w14:paraId="3A453AF4" w14:textId="77777777" w:rsidR="000263E9" w:rsidRPr="00B70107" w:rsidRDefault="000263E9" w:rsidP="001A01DC">
            <w:pPr>
              <w:rPr>
                <w:b/>
                <w:bCs/>
                <w:sz w:val="20"/>
                <w:szCs w:val="20"/>
              </w:rPr>
            </w:pPr>
            <w:r w:rsidRPr="00B70107">
              <w:rPr>
                <w:b/>
                <w:bCs/>
                <w:sz w:val="20"/>
                <w:szCs w:val="20"/>
              </w:rPr>
              <w:t>Multi-mode travel</w:t>
            </w:r>
          </w:p>
          <w:p w14:paraId="0CF36927" w14:textId="77777777" w:rsidR="000263E9" w:rsidRPr="00B70107" w:rsidRDefault="000263E9" w:rsidP="001A01DC">
            <w:pPr>
              <w:rPr>
                <w:sz w:val="20"/>
                <w:szCs w:val="20"/>
              </w:rPr>
            </w:pPr>
            <w:r w:rsidRPr="00B70107">
              <w:rPr>
                <w:sz w:val="20"/>
                <w:szCs w:val="20"/>
              </w:rPr>
              <w:t>4.0% reported park and stride to nursery.</w:t>
            </w:r>
          </w:p>
        </w:tc>
        <w:tc>
          <w:tcPr>
            <w:tcW w:w="3180" w:type="dxa"/>
          </w:tcPr>
          <w:p w14:paraId="7115ADB8" w14:textId="77777777" w:rsidR="000263E9" w:rsidRPr="00B70107" w:rsidRDefault="000263E9" w:rsidP="001A01DC">
            <w:pPr>
              <w:rPr>
                <w:b/>
                <w:bCs/>
                <w:sz w:val="20"/>
                <w:szCs w:val="20"/>
              </w:rPr>
            </w:pPr>
            <w:r w:rsidRPr="00B70107">
              <w:rPr>
                <w:sz w:val="20"/>
                <w:szCs w:val="20"/>
              </w:rPr>
              <w:t xml:space="preserve">*As with previous findings in report cards, park and stride </w:t>
            </w:r>
            <w:r w:rsidRPr="00B70107">
              <w:rPr>
                <w:b/>
                <w:bCs/>
                <w:sz w:val="20"/>
                <w:szCs w:val="20"/>
              </w:rPr>
              <w:t>still</w:t>
            </w:r>
            <w:r w:rsidRPr="00B70107">
              <w:rPr>
                <w:sz w:val="20"/>
                <w:szCs w:val="20"/>
              </w:rPr>
              <w:t xml:space="preserve"> not considered as active travel.</w:t>
            </w:r>
          </w:p>
          <w:p w14:paraId="67B660A8" w14:textId="77777777" w:rsidR="000263E9" w:rsidRPr="00B70107" w:rsidRDefault="000263E9" w:rsidP="001A01DC">
            <w:pPr>
              <w:rPr>
                <w:b/>
                <w:bCs/>
                <w:sz w:val="20"/>
                <w:szCs w:val="20"/>
              </w:rPr>
            </w:pPr>
          </w:p>
          <w:p w14:paraId="5AA6EDC3" w14:textId="77777777" w:rsidR="000263E9" w:rsidRPr="00B70107" w:rsidRDefault="000263E9" w:rsidP="001A01DC">
            <w:pPr>
              <w:rPr>
                <w:b/>
                <w:bCs/>
                <w:sz w:val="20"/>
                <w:szCs w:val="20"/>
              </w:rPr>
            </w:pPr>
            <w:r w:rsidRPr="00B70107">
              <w:rPr>
                <w:b/>
                <w:bCs/>
                <w:sz w:val="20"/>
                <w:szCs w:val="20"/>
              </w:rPr>
              <w:t>Interesting trends:</w:t>
            </w:r>
          </w:p>
          <w:p w14:paraId="50FC3EC9" w14:textId="77777777" w:rsidR="000263E9" w:rsidRPr="00B70107" w:rsidRDefault="000263E9" w:rsidP="001A01DC">
            <w:pPr>
              <w:rPr>
                <w:sz w:val="20"/>
                <w:szCs w:val="20"/>
              </w:rPr>
            </w:pPr>
            <w:r w:rsidRPr="00B70107">
              <w:rPr>
                <w:sz w:val="20"/>
                <w:szCs w:val="20"/>
              </w:rPr>
              <w:t xml:space="preserve">There is evidence of a steady decline in the proportion of pupils reporting walking to school (from 45.8% in 2010 to the lowest recorded level of 41.0% in 2019). Primary schools have shown the </w:t>
            </w:r>
            <w:r w:rsidRPr="00B70107">
              <w:rPr>
                <w:b/>
                <w:bCs/>
                <w:sz w:val="20"/>
                <w:szCs w:val="20"/>
              </w:rPr>
              <w:t>largest decrease in walking levels</w:t>
            </w:r>
            <w:r w:rsidRPr="00B70107">
              <w:rPr>
                <w:sz w:val="20"/>
                <w:szCs w:val="20"/>
              </w:rPr>
              <w:t xml:space="preserve"> (from 48.7% in 2010 to 41.6% in 2019). The 2019 survey recorded an increasing trend in cycling in all schools (not nursery) from 2.8% in 2010 to the highest recorded levels of 4.1% in 2019. The % of pupils normally travelling to school by park and stride increased from 7.4% in 2010 to a high of 10.2% in 2019.</w:t>
            </w:r>
          </w:p>
          <w:p w14:paraId="780182E7" w14:textId="77777777" w:rsidR="000263E9" w:rsidRPr="00B70107" w:rsidRDefault="000263E9" w:rsidP="001A01DC">
            <w:pPr>
              <w:rPr>
                <w:sz w:val="20"/>
                <w:szCs w:val="20"/>
              </w:rPr>
            </w:pPr>
          </w:p>
        </w:tc>
      </w:tr>
      <w:tr w:rsidR="000263E9" w:rsidRPr="00B70107" w14:paraId="2955FB62" w14:textId="77777777" w:rsidTr="001A01DC">
        <w:tc>
          <w:tcPr>
            <w:tcW w:w="2405" w:type="dxa"/>
          </w:tcPr>
          <w:p w14:paraId="5EA7E9B4" w14:textId="77777777" w:rsidR="000263E9" w:rsidRPr="00B70107" w:rsidRDefault="000263E9" w:rsidP="001A01DC">
            <w:pPr>
              <w:rPr>
                <w:sz w:val="20"/>
                <w:szCs w:val="20"/>
              </w:rPr>
            </w:pPr>
            <w:r w:rsidRPr="00B70107">
              <w:rPr>
                <w:b/>
                <w:bCs/>
                <w:sz w:val="20"/>
                <w:szCs w:val="20"/>
              </w:rPr>
              <w:t>Transport and Travel in Scotland</w:t>
            </w:r>
            <w:r w:rsidRPr="00B70107">
              <w:rPr>
                <w:sz w:val="20"/>
                <w:szCs w:val="20"/>
              </w:rPr>
              <w:t xml:space="preserve"> </w:t>
            </w:r>
          </w:p>
          <w:p w14:paraId="6ABD80EB" w14:textId="77777777" w:rsidR="000263E9" w:rsidRPr="00B70107" w:rsidRDefault="000263E9" w:rsidP="001A01DC">
            <w:pPr>
              <w:rPr>
                <w:sz w:val="20"/>
                <w:szCs w:val="20"/>
              </w:rPr>
            </w:pPr>
            <w:r w:rsidRPr="00B70107">
              <w:rPr>
                <w:sz w:val="20"/>
                <w:szCs w:val="20"/>
              </w:rPr>
              <w:t>Results from the Scottish Household Survey</w:t>
            </w:r>
          </w:p>
          <w:p w14:paraId="0307B21C" w14:textId="77777777" w:rsidR="000263E9" w:rsidRPr="00B70107" w:rsidRDefault="000263E9" w:rsidP="001A01DC">
            <w:pPr>
              <w:rPr>
                <w:sz w:val="20"/>
                <w:szCs w:val="20"/>
              </w:rPr>
            </w:pPr>
          </w:p>
          <w:p w14:paraId="59487D84" w14:textId="77777777" w:rsidR="000263E9" w:rsidRPr="00B70107" w:rsidRDefault="00F1041F" w:rsidP="001A01DC">
            <w:pPr>
              <w:rPr>
                <w:sz w:val="20"/>
                <w:szCs w:val="20"/>
              </w:rPr>
            </w:pPr>
            <w:hyperlink r:id="rId29" w:history="1">
              <w:r w:rsidR="000263E9" w:rsidRPr="00B70107">
                <w:rPr>
                  <w:rStyle w:val="Hyperlink"/>
                  <w:color w:val="auto"/>
                  <w:sz w:val="20"/>
                  <w:szCs w:val="20"/>
                </w:rPr>
                <w:t>https://www.transport.gov.scot/media/48317/sct09201490081.pdf</w:t>
              </w:r>
            </w:hyperlink>
          </w:p>
          <w:p w14:paraId="4D040446" w14:textId="77777777" w:rsidR="000263E9" w:rsidRPr="00B70107" w:rsidRDefault="000263E9" w:rsidP="001A01DC">
            <w:pPr>
              <w:rPr>
                <w:sz w:val="20"/>
                <w:szCs w:val="20"/>
              </w:rPr>
            </w:pPr>
          </w:p>
          <w:p w14:paraId="2E24E1AC" w14:textId="77777777" w:rsidR="000263E9" w:rsidRPr="00B70107" w:rsidRDefault="000263E9" w:rsidP="001A01DC">
            <w:pPr>
              <w:rPr>
                <w:sz w:val="20"/>
                <w:szCs w:val="20"/>
              </w:rPr>
            </w:pPr>
            <w:r w:rsidRPr="00B70107">
              <w:rPr>
                <w:sz w:val="20"/>
                <w:szCs w:val="20"/>
              </w:rPr>
              <w:t>(published September 2020)</w:t>
            </w:r>
          </w:p>
        </w:tc>
        <w:tc>
          <w:tcPr>
            <w:tcW w:w="1701" w:type="dxa"/>
          </w:tcPr>
          <w:p w14:paraId="57F26112" w14:textId="77777777" w:rsidR="000263E9" w:rsidRPr="00B70107" w:rsidRDefault="000263E9" w:rsidP="001A01DC">
            <w:pPr>
              <w:rPr>
                <w:sz w:val="20"/>
                <w:szCs w:val="20"/>
              </w:rPr>
            </w:pPr>
            <w:r w:rsidRPr="00B70107">
              <w:rPr>
                <w:sz w:val="20"/>
                <w:szCs w:val="20"/>
              </w:rPr>
              <w:t>Nationally representative subset of the Scottish Household Survey (SHS) data based on n=1920 parent/caregiver/household reports.</w:t>
            </w:r>
          </w:p>
        </w:tc>
        <w:tc>
          <w:tcPr>
            <w:tcW w:w="2693" w:type="dxa"/>
          </w:tcPr>
          <w:p w14:paraId="0882C45D" w14:textId="77777777" w:rsidR="000263E9" w:rsidRPr="00B70107" w:rsidRDefault="000263E9" w:rsidP="001A01DC">
            <w:pPr>
              <w:rPr>
                <w:sz w:val="20"/>
                <w:szCs w:val="20"/>
              </w:rPr>
            </w:pPr>
            <w:r w:rsidRPr="00B70107">
              <w:rPr>
                <w:sz w:val="20"/>
                <w:szCs w:val="20"/>
              </w:rPr>
              <w:t>Householders with young people in the household who are under the age of 18 and go to school were asked the question below.</w:t>
            </w:r>
          </w:p>
          <w:p w14:paraId="1BB3C894" w14:textId="77777777" w:rsidR="000263E9" w:rsidRPr="00B70107" w:rsidRDefault="000263E9" w:rsidP="001A01DC">
            <w:pPr>
              <w:rPr>
                <w:sz w:val="20"/>
                <w:szCs w:val="20"/>
              </w:rPr>
            </w:pPr>
          </w:p>
          <w:p w14:paraId="5B22905C" w14:textId="77777777" w:rsidR="000263E9" w:rsidRPr="00B70107" w:rsidRDefault="000263E9" w:rsidP="001A01DC">
            <w:pPr>
              <w:rPr>
                <w:i/>
                <w:iCs/>
                <w:sz w:val="20"/>
                <w:szCs w:val="20"/>
              </w:rPr>
            </w:pPr>
            <w:r w:rsidRPr="00B70107">
              <w:rPr>
                <w:i/>
                <w:iCs/>
                <w:sz w:val="20"/>
                <w:szCs w:val="20"/>
              </w:rPr>
              <w:t xml:space="preserve">How does [child] usually travel to school during term time? </w:t>
            </w:r>
          </w:p>
          <w:p w14:paraId="5808F4E8" w14:textId="77777777" w:rsidR="000263E9" w:rsidRPr="00B70107" w:rsidRDefault="000263E9" w:rsidP="001A01DC">
            <w:pPr>
              <w:rPr>
                <w:sz w:val="20"/>
                <w:szCs w:val="20"/>
              </w:rPr>
            </w:pPr>
          </w:p>
          <w:p w14:paraId="6AA8602A" w14:textId="77777777" w:rsidR="000263E9" w:rsidRPr="00B70107" w:rsidRDefault="000263E9" w:rsidP="001A01DC">
            <w:pPr>
              <w:rPr>
                <w:sz w:val="20"/>
                <w:szCs w:val="20"/>
              </w:rPr>
            </w:pPr>
            <w:r w:rsidRPr="00B70107">
              <w:rPr>
                <w:sz w:val="20"/>
                <w:szCs w:val="20"/>
              </w:rPr>
              <w:t>16 choices were provided, the active travel choices were walking and cycling.</w:t>
            </w:r>
          </w:p>
          <w:p w14:paraId="587E1D13" w14:textId="77777777" w:rsidR="000263E9" w:rsidRPr="00B70107" w:rsidRDefault="000263E9" w:rsidP="001A01DC">
            <w:pPr>
              <w:rPr>
                <w:sz w:val="20"/>
                <w:szCs w:val="20"/>
              </w:rPr>
            </w:pPr>
          </w:p>
        </w:tc>
        <w:tc>
          <w:tcPr>
            <w:tcW w:w="3969" w:type="dxa"/>
          </w:tcPr>
          <w:p w14:paraId="792E385E" w14:textId="77777777" w:rsidR="000263E9" w:rsidRPr="00B70107" w:rsidRDefault="000263E9" w:rsidP="001A01DC">
            <w:pPr>
              <w:rPr>
                <w:sz w:val="20"/>
                <w:szCs w:val="20"/>
              </w:rPr>
            </w:pPr>
            <w:r w:rsidRPr="00B70107">
              <w:rPr>
                <w:sz w:val="20"/>
                <w:szCs w:val="20"/>
              </w:rPr>
              <w:t>Around half of children (</w:t>
            </w:r>
            <w:r w:rsidRPr="00B70107">
              <w:rPr>
                <w:sz w:val="20"/>
                <w:szCs w:val="20"/>
                <w:highlight w:val="yellow"/>
              </w:rPr>
              <w:t>52%</w:t>
            </w:r>
            <w:r w:rsidRPr="00B70107">
              <w:rPr>
                <w:sz w:val="20"/>
                <w:szCs w:val="20"/>
              </w:rPr>
              <w:t>) walked to school, 19% travelled by bus.</w:t>
            </w:r>
          </w:p>
          <w:p w14:paraId="7D355F83" w14:textId="77777777" w:rsidR="000263E9" w:rsidRPr="00B70107" w:rsidRDefault="000263E9" w:rsidP="001A01DC">
            <w:pPr>
              <w:rPr>
                <w:sz w:val="20"/>
                <w:szCs w:val="20"/>
              </w:rPr>
            </w:pPr>
            <w:r w:rsidRPr="00B70107">
              <w:rPr>
                <w:sz w:val="20"/>
                <w:szCs w:val="20"/>
              </w:rPr>
              <w:t xml:space="preserve">Mode of travel varied by age: </w:t>
            </w:r>
          </w:p>
          <w:p w14:paraId="039E1E0D" w14:textId="77777777" w:rsidR="000263E9" w:rsidRPr="00B70107" w:rsidRDefault="000263E9" w:rsidP="001A01DC">
            <w:pPr>
              <w:rPr>
                <w:sz w:val="20"/>
                <w:szCs w:val="20"/>
              </w:rPr>
            </w:pPr>
            <w:r w:rsidRPr="00B70107">
              <w:rPr>
                <w:sz w:val="20"/>
                <w:szCs w:val="20"/>
              </w:rPr>
              <w:t xml:space="preserve">4 to 11yos: </w:t>
            </w:r>
            <w:r w:rsidRPr="00B70107">
              <w:rPr>
                <w:sz w:val="20"/>
                <w:szCs w:val="20"/>
                <w:highlight w:val="yellow"/>
              </w:rPr>
              <w:t>59%</w:t>
            </w:r>
            <w:r w:rsidRPr="00B70107">
              <w:rPr>
                <w:sz w:val="20"/>
                <w:szCs w:val="20"/>
              </w:rPr>
              <w:t xml:space="preserve"> reported walking to school</w:t>
            </w:r>
          </w:p>
          <w:p w14:paraId="63F39D21" w14:textId="77777777" w:rsidR="000263E9" w:rsidRPr="00B70107" w:rsidRDefault="000263E9" w:rsidP="001A01DC">
            <w:pPr>
              <w:rPr>
                <w:sz w:val="20"/>
                <w:szCs w:val="20"/>
              </w:rPr>
            </w:pPr>
            <w:r w:rsidRPr="00B70107">
              <w:rPr>
                <w:sz w:val="20"/>
                <w:szCs w:val="20"/>
              </w:rPr>
              <w:t xml:space="preserve">12 to 18yos: </w:t>
            </w:r>
            <w:r w:rsidRPr="00B70107">
              <w:rPr>
                <w:sz w:val="20"/>
                <w:szCs w:val="20"/>
                <w:highlight w:val="yellow"/>
              </w:rPr>
              <w:t>42%</w:t>
            </w:r>
            <w:r w:rsidRPr="00B70107">
              <w:rPr>
                <w:sz w:val="20"/>
                <w:szCs w:val="20"/>
              </w:rPr>
              <w:t xml:space="preserve"> reported walking to school.</w:t>
            </w:r>
          </w:p>
          <w:p w14:paraId="13DFF4F9" w14:textId="77777777" w:rsidR="000263E9" w:rsidRPr="00B70107" w:rsidRDefault="000263E9" w:rsidP="001A01DC">
            <w:pPr>
              <w:rPr>
                <w:b/>
                <w:bCs/>
                <w:sz w:val="20"/>
                <w:szCs w:val="20"/>
              </w:rPr>
            </w:pPr>
            <w:r w:rsidRPr="00B70107">
              <w:rPr>
                <w:b/>
                <w:bCs/>
                <w:sz w:val="20"/>
                <w:szCs w:val="20"/>
              </w:rPr>
              <w:t>Walk to school by SIMD:</w:t>
            </w:r>
          </w:p>
          <w:p w14:paraId="11C5C336" w14:textId="77777777" w:rsidR="000263E9" w:rsidRPr="00B70107" w:rsidRDefault="000263E9" w:rsidP="001A01DC">
            <w:pPr>
              <w:rPr>
                <w:sz w:val="20"/>
                <w:szCs w:val="20"/>
              </w:rPr>
            </w:pPr>
            <w:r w:rsidRPr="00B70107">
              <w:rPr>
                <w:sz w:val="20"/>
                <w:szCs w:val="20"/>
              </w:rPr>
              <w:t>Most deprived (1</w:t>
            </w:r>
            <w:r w:rsidRPr="00B70107">
              <w:rPr>
                <w:sz w:val="20"/>
                <w:szCs w:val="20"/>
                <w:vertAlign w:val="superscript"/>
              </w:rPr>
              <w:t>st</w:t>
            </w:r>
            <w:r w:rsidRPr="00B70107">
              <w:rPr>
                <w:sz w:val="20"/>
                <w:szCs w:val="20"/>
              </w:rPr>
              <w:t xml:space="preserve">): 63%, </w:t>
            </w:r>
          </w:p>
          <w:p w14:paraId="6ADE9E6B" w14:textId="77777777" w:rsidR="000263E9" w:rsidRPr="00B70107" w:rsidRDefault="000263E9" w:rsidP="001A01DC">
            <w:pPr>
              <w:rPr>
                <w:sz w:val="20"/>
                <w:szCs w:val="20"/>
              </w:rPr>
            </w:pPr>
            <w:r w:rsidRPr="00B70107">
              <w:rPr>
                <w:sz w:val="20"/>
                <w:szCs w:val="20"/>
              </w:rPr>
              <w:t>2</w:t>
            </w:r>
            <w:r w:rsidRPr="00B70107">
              <w:rPr>
                <w:sz w:val="20"/>
                <w:szCs w:val="20"/>
                <w:vertAlign w:val="superscript"/>
              </w:rPr>
              <w:t>nd</w:t>
            </w:r>
            <w:r w:rsidRPr="00B70107">
              <w:rPr>
                <w:sz w:val="20"/>
                <w:szCs w:val="20"/>
              </w:rPr>
              <w:t xml:space="preserve"> quintile: 55%, </w:t>
            </w:r>
          </w:p>
          <w:p w14:paraId="79706AB9" w14:textId="77777777" w:rsidR="000263E9" w:rsidRPr="00B70107" w:rsidRDefault="000263E9" w:rsidP="001A01DC">
            <w:pPr>
              <w:rPr>
                <w:sz w:val="20"/>
                <w:szCs w:val="20"/>
              </w:rPr>
            </w:pPr>
            <w:r w:rsidRPr="00B70107">
              <w:rPr>
                <w:sz w:val="20"/>
                <w:szCs w:val="20"/>
              </w:rPr>
              <w:t>3</w:t>
            </w:r>
            <w:r w:rsidRPr="00B70107">
              <w:rPr>
                <w:sz w:val="20"/>
                <w:szCs w:val="20"/>
                <w:vertAlign w:val="superscript"/>
              </w:rPr>
              <w:t>rd</w:t>
            </w:r>
            <w:r w:rsidRPr="00B70107">
              <w:rPr>
                <w:sz w:val="20"/>
                <w:szCs w:val="20"/>
              </w:rPr>
              <w:t xml:space="preserve"> quintile: 48%, </w:t>
            </w:r>
          </w:p>
          <w:p w14:paraId="68BB4526" w14:textId="77777777" w:rsidR="000263E9" w:rsidRPr="00B70107" w:rsidRDefault="000263E9" w:rsidP="001A01DC">
            <w:pPr>
              <w:rPr>
                <w:sz w:val="20"/>
                <w:szCs w:val="20"/>
              </w:rPr>
            </w:pPr>
            <w:r w:rsidRPr="00B70107">
              <w:rPr>
                <w:sz w:val="20"/>
                <w:szCs w:val="20"/>
              </w:rPr>
              <w:t>4</w:t>
            </w:r>
            <w:r w:rsidRPr="00B70107">
              <w:rPr>
                <w:sz w:val="20"/>
                <w:szCs w:val="20"/>
                <w:vertAlign w:val="superscript"/>
              </w:rPr>
              <w:t>th</w:t>
            </w:r>
            <w:r w:rsidRPr="00B70107">
              <w:rPr>
                <w:sz w:val="20"/>
                <w:szCs w:val="20"/>
              </w:rPr>
              <w:t xml:space="preserve"> quintile: 41%,</w:t>
            </w:r>
          </w:p>
          <w:p w14:paraId="7358AC13" w14:textId="77777777" w:rsidR="000263E9" w:rsidRPr="00B70107" w:rsidRDefault="000263E9" w:rsidP="001A01DC">
            <w:pPr>
              <w:rPr>
                <w:sz w:val="20"/>
                <w:szCs w:val="20"/>
              </w:rPr>
            </w:pPr>
            <w:r w:rsidRPr="00B70107">
              <w:rPr>
                <w:sz w:val="20"/>
                <w:szCs w:val="20"/>
              </w:rPr>
              <w:t>least deprived (5</w:t>
            </w:r>
            <w:r w:rsidRPr="00B70107">
              <w:rPr>
                <w:sz w:val="20"/>
                <w:szCs w:val="20"/>
                <w:vertAlign w:val="superscript"/>
              </w:rPr>
              <w:t>th</w:t>
            </w:r>
            <w:r w:rsidRPr="00B70107">
              <w:rPr>
                <w:sz w:val="20"/>
                <w:szCs w:val="20"/>
              </w:rPr>
              <w:t>): 51%.</w:t>
            </w:r>
          </w:p>
          <w:p w14:paraId="2BCE5CF9" w14:textId="77777777" w:rsidR="000263E9" w:rsidRPr="00B70107" w:rsidRDefault="000263E9" w:rsidP="001A01DC">
            <w:pPr>
              <w:rPr>
                <w:b/>
                <w:bCs/>
                <w:sz w:val="20"/>
                <w:szCs w:val="20"/>
              </w:rPr>
            </w:pPr>
            <w:r w:rsidRPr="00B70107">
              <w:rPr>
                <w:b/>
                <w:bCs/>
                <w:sz w:val="20"/>
                <w:szCs w:val="20"/>
              </w:rPr>
              <w:t>Bike to school by SIMD:</w:t>
            </w:r>
          </w:p>
          <w:p w14:paraId="26D190E7" w14:textId="77777777" w:rsidR="000263E9" w:rsidRPr="00B70107" w:rsidRDefault="000263E9" w:rsidP="001A01DC">
            <w:pPr>
              <w:rPr>
                <w:sz w:val="20"/>
                <w:szCs w:val="20"/>
              </w:rPr>
            </w:pPr>
            <w:r w:rsidRPr="00B70107">
              <w:rPr>
                <w:sz w:val="20"/>
                <w:szCs w:val="20"/>
              </w:rPr>
              <w:t>Most deprived (1</w:t>
            </w:r>
            <w:r w:rsidRPr="00B70107">
              <w:rPr>
                <w:sz w:val="20"/>
                <w:szCs w:val="20"/>
                <w:vertAlign w:val="superscript"/>
              </w:rPr>
              <w:t>st</w:t>
            </w:r>
            <w:r w:rsidRPr="00B70107">
              <w:rPr>
                <w:sz w:val="20"/>
                <w:szCs w:val="20"/>
              </w:rPr>
              <w:t xml:space="preserve">): 1%, </w:t>
            </w:r>
          </w:p>
          <w:p w14:paraId="50B0BC98" w14:textId="77777777" w:rsidR="000263E9" w:rsidRPr="00B70107" w:rsidRDefault="000263E9" w:rsidP="001A01DC">
            <w:pPr>
              <w:rPr>
                <w:sz w:val="20"/>
                <w:szCs w:val="20"/>
              </w:rPr>
            </w:pPr>
            <w:r w:rsidRPr="00B70107">
              <w:rPr>
                <w:sz w:val="20"/>
                <w:szCs w:val="20"/>
              </w:rPr>
              <w:t>2</w:t>
            </w:r>
            <w:r w:rsidRPr="00B70107">
              <w:rPr>
                <w:sz w:val="20"/>
                <w:szCs w:val="20"/>
                <w:vertAlign w:val="superscript"/>
              </w:rPr>
              <w:t>nd</w:t>
            </w:r>
            <w:r w:rsidRPr="00B70107">
              <w:rPr>
                <w:sz w:val="20"/>
                <w:szCs w:val="20"/>
              </w:rPr>
              <w:t xml:space="preserve"> quintile: 1%, </w:t>
            </w:r>
          </w:p>
          <w:p w14:paraId="273FE26B" w14:textId="77777777" w:rsidR="000263E9" w:rsidRPr="00B70107" w:rsidRDefault="000263E9" w:rsidP="001A01DC">
            <w:pPr>
              <w:rPr>
                <w:sz w:val="20"/>
                <w:szCs w:val="20"/>
              </w:rPr>
            </w:pPr>
            <w:r w:rsidRPr="00B70107">
              <w:rPr>
                <w:sz w:val="20"/>
                <w:szCs w:val="20"/>
              </w:rPr>
              <w:t>3</w:t>
            </w:r>
            <w:r w:rsidRPr="00B70107">
              <w:rPr>
                <w:sz w:val="20"/>
                <w:szCs w:val="20"/>
                <w:vertAlign w:val="superscript"/>
              </w:rPr>
              <w:t>rd</w:t>
            </w:r>
            <w:r w:rsidRPr="00B70107">
              <w:rPr>
                <w:sz w:val="20"/>
                <w:szCs w:val="20"/>
              </w:rPr>
              <w:t xml:space="preserve"> quintile: 1%, </w:t>
            </w:r>
          </w:p>
          <w:p w14:paraId="58DDFC7C" w14:textId="77777777" w:rsidR="000263E9" w:rsidRPr="00B70107" w:rsidRDefault="000263E9" w:rsidP="001A01DC">
            <w:pPr>
              <w:rPr>
                <w:sz w:val="20"/>
                <w:szCs w:val="20"/>
              </w:rPr>
            </w:pPr>
            <w:r w:rsidRPr="00B70107">
              <w:rPr>
                <w:sz w:val="20"/>
                <w:szCs w:val="20"/>
              </w:rPr>
              <w:t>4</w:t>
            </w:r>
            <w:r w:rsidRPr="00B70107">
              <w:rPr>
                <w:sz w:val="20"/>
                <w:szCs w:val="20"/>
                <w:vertAlign w:val="superscript"/>
              </w:rPr>
              <w:t>th</w:t>
            </w:r>
            <w:r w:rsidRPr="00B70107">
              <w:rPr>
                <w:sz w:val="20"/>
                <w:szCs w:val="20"/>
              </w:rPr>
              <w:t xml:space="preserve"> quintile: 2%, </w:t>
            </w:r>
          </w:p>
          <w:p w14:paraId="572C042D" w14:textId="77777777" w:rsidR="000263E9" w:rsidRPr="00B70107" w:rsidRDefault="000263E9" w:rsidP="001A01DC">
            <w:pPr>
              <w:rPr>
                <w:sz w:val="20"/>
                <w:szCs w:val="20"/>
              </w:rPr>
            </w:pPr>
            <w:r w:rsidRPr="00B70107">
              <w:rPr>
                <w:sz w:val="20"/>
                <w:szCs w:val="20"/>
              </w:rPr>
              <w:t>least deprived (5</w:t>
            </w:r>
            <w:r w:rsidRPr="00B70107">
              <w:rPr>
                <w:sz w:val="20"/>
                <w:szCs w:val="20"/>
                <w:vertAlign w:val="superscript"/>
              </w:rPr>
              <w:t>th</w:t>
            </w:r>
            <w:r w:rsidRPr="00B70107">
              <w:rPr>
                <w:sz w:val="20"/>
                <w:szCs w:val="20"/>
              </w:rPr>
              <w:t>): 4%.</w:t>
            </w:r>
          </w:p>
        </w:tc>
        <w:tc>
          <w:tcPr>
            <w:tcW w:w="3180" w:type="dxa"/>
          </w:tcPr>
          <w:p w14:paraId="4EA9181A" w14:textId="77777777" w:rsidR="000263E9" w:rsidRPr="00B70107" w:rsidRDefault="000263E9" w:rsidP="001A01DC">
            <w:pPr>
              <w:rPr>
                <w:b/>
                <w:bCs/>
                <w:sz w:val="20"/>
                <w:szCs w:val="20"/>
              </w:rPr>
            </w:pPr>
            <w:r w:rsidRPr="00B70107">
              <w:rPr>
                <w:sz w:val="20"/>
                <w:szCs w:val="20"/>
              </w:rPr>
              <w:t>*As with previous report cards, travel by scooter/skating, and park &amp; stride not measured.</w:t>
            </w:r>
          </w:p>
          <w:p w14:paraId="480E6A8C" w14:textId="77777777" w:rsidR="000263E9" w:rsidRPr="00B70107" w:rsidRDefault="000263E9" w:rsidP="001A01DC">
            <w:pPr>
              <w:rPr>
                <w:b/>
                <w:bCs/>
                <w:sz w:val="20"/>
                <w:szCs w:val="20"/>
              </w:rPr>
            </w:pPr>
          </w:p>
          <w:p w14:paraId="6C1A532D" w14:textId="77777777" w:rsidR="000263E9" w:rsidRPr="00B70107" w:rsidRDefault="000263E9" w:rsidP="001A01DC">
            <w:pPr>
              <w:rPr>
                <w:b/>
                <w:bCs/>
                <w:sz w:val="20"/>
                <w:szCs w:val="20"/>
              </w:rPr>
            </w:pPr>
            <w:r w:rsidRPr="00B70107">
              <w:rPr>
                <w:b/>
                <w:bCs/>
                <w:sz w:val="20"/>
                <w:szCs w:val="20"/>
              </w:rPr>
              <w:t>Interesting reasons for results:</w:t>
            </w:r>
          </w:p>
          <w:p w14:paraId="48F5C8C7" w14:textId="77777777" w:rsidR="000263E9" w:rsidRPr="00B70107" w:rsidRDefault="000263E9" w:rsidP="001A01DC">
            <w:pPr>
              <w:rPr>
                <w:sz w:val="20"/>
                <w:szCs w:val="20"/>
              </w:rPr>
            </w:pPr>
            <w:r w:rsidRPr="00B70107">
              <w:rPr>
                <w:sz w:val="20"/>
                <w:szCs w:val="20"/>
              </w:rPr>
              <w:t xml:space="preserve">Of those walking, 88% per cent did so because the school is </w:t>
            </w:r>
            <w:r w:rsidRPr="00B70107">
              <w:rPr>
                <w:b/>
                <w:bCs/>
                <w:sz w:val="20"/>
                <w:szCs w:val="20"/>
              </w:rPr>
              <w:t>close by</w:t>
            </w:r>
            <w:r w:rsidRPr="00B70107">
              <w:rPr>
                <w:sz w:val="20"/>
                <w:szCs w:val="20"/>
              </w:rPr>
              <w:t xml:space="preserve">, 9% reported </w:t>
            </w:r>
            <w:r w:rsidRPr="00B70107">
              <w:rPr>
                <w:b/>
                <w:bCs/>
                <w:sz w:val="20"/>
                <w:szCs w:val="20"/>
              </w:rPr>
              <w:t>convenience</w:t>
            </w:r>
            <w:r w:rsidRPr="00B70107">
              <w:rPr>
                <w:sz w:val="20"/>
                <w:szCs w:val="20"/>
              </w:rPr>
              <w:t>.</w:t>
            </w:r>
          </w:p>
          <w:p w14:paraId="182455A2" w14:textId="77777777" w:rsidR="000263E9" w:rsidRPr="00B70107" w:rsidRDefault="000263E9" w:rsidP="001A01DC">
            <w:pPr>
              <w:rPr>
                <w:sz w:val="20"/>
                <w:szCs w:val="20"/>
              </w:rPr>
            </w:pPr>
          </w:p>
          <w:p w14:paraId="44F5EB70" w14:textId="77777777" w:rsidR="000263E9" w:rsidRPr="00B70107" w:rsidRDefault="000263E9" w:rsidP="001A01DC">
            <w:pPr>
              <w:rPr>
                <w:sz w:val="20"/>
                <w:szCs w:val="20"/>
              </w:rPr>
            </w:pPr>
          </w:p>
        </w:tc>
      </w:tr>
      <w:tr w:rsidR="000263E9" w:rsidRPr="00B70107" w14:paraId="1B0AAD1A" w14:textId="77777777" w:rsidTr="001A01DC">
        <w:tc>
          <w:tcPr>
            <w:tcW w:w="2405" w:type="dxa"/>
          </w:tcPr>
          <w:p w14:paraId="6299B451" w14:textId="77777777" w:rsidR="000263E9" w:rsidRPr="00B70107" w:rsidRDefault="000263E9" w:rsidP="001A01DC">
            <w:pPr>
              <w:rPr>
                <w:b/>
                <w:bCs/>
                <w:sz w:val="20"/>
                <w:szCs w:val="20"/>
              </w:rPr>
            </w:pPr>
            <w:r w:rsidRPr="00B70107">
              <w:rPr>
                <w:b/>
                <w:bCs/>
                <w:sz w:val="20"/>
                <w:szCs w:val="20"/>
              </w:rPr>
              <w:t>Active commute to school: does distance from school or walkability of the home neighbourhood matter? A national cross-sectional study of children aged 10–11 years, Scotland, UK</w:t>
            </w:r>
          </w:p>
          <w:p w14:paraId="3DA77FD6" w14:textId="77777777" w:rsidR="000263E9" w:rsidRPr="00B70107" w:rsidRDefault="000263E9" w:rsidP="001A01DC">
            <w:pPr>
              <w:rPr>
                <w:sz w:val="20"/>
                <w:szCs w:val="20"/>
              </w:rPr>
            </w:pPr>
          </w:p>
          <w:p w14:paraId="5DE00A9C" w14:textId="77777777" w:rsidR="000263E9" w:rsidRPr="00B70107" w:rsidRDefault="000263E9" w:rsidP="001A01DC">
            <w:pPr>
              <w:rPr>
                <w:b/>
                <w:bCs/>
                <w:sz w:val="20"/>
                <w:szCs w:val="20"/>
              </w:rPr>
            </w:pPr>
            <w:r w:rsidRPr="00B70107">
              <w:rPr>
                <w:b/>
                <w:bCs/>
                <w:sz w:val="20"/>
                <w:szCs w:val="20"/>
              </w:rPr>
              <w:t>Reference:</w:t>
            </w:r>
          </w:p>
          <w:p w14:paraId="7703E2A7" w14:textId="77777777" w:rsidR="000263E9" w:rsidRPr="00B70107" w:rsidRDefault="000263E9" w:rsidP="001A01DC">
            <w:pPr>
              <w:rPr>
                <w:sz w:val="20"/>
                <w:szCs w:val="20"/>
              </w:rPr>
            </w:pPr>
            <w:r w:rsidRPr="00B70107">
              <w:rPr>
                <w:sz w:val="20"/>
                <w:szCs w:val="20"/>
              </w:rPr>
              <w:t>Macdonald L, McCrorie P, Nicholls N, et al. Active commute to school: does distance from school</w:t>
            </w:r>
          </w:p>
          <w:p w14:paraId="6B1B14A8" w14:textId="77777777" w:rsidR="000263E9" w:rsidRPr="00B70107" w:rsidRDefault="000263E9" w:rsidP="001A01DC">
            <w:pPr>
              <w:rPr>
                <w:sz w:val="20"/>
                <w:szCs w:val="20"/>
              </w:rPr>
            </w:pPr>
            <w:r w:rsidRPr="00B70107">
              <w:rPr>
                <w:sz w:val="20"/>
                <w:szCs w:val="20"/>
              </w:rPr>
              <w:t xml:space="preserve">or walkability of the home neighbourhood matter? A national cross-sectional study of children aged 10–11 years, Scotland, UK. BMJ Open 2019;9:e033628. doi:10.1136/ bmjopen-2019-033628 </w:t>
            </w:r>
          </w:p>
        </w:tc>
        <w:tc>
          <w:tcPr>
            <w:tcW w:w="1701" w:type="dxa"/>
          </w:tcPr>
          <w:p w14:paraId="08F451C4" w14:textId="77777777" w:rsidR="000263E9" w:rsidRPr="00B70107" w:rsidRDefault="000263E9" w:rsidP="001A01DC">
            <w:pPr>
              <w:rPr>
                <w:sz w:val="20"/>
                <w:szCs w:val="20"/>
              </w:rPr>
            </w:pPr>
            <w:r w:rsidRPr="00B70107">
              <w:rPr>
                <w:sz w:val="20"/>
                <w:szCs w:val="20"/>
              </w:rPr>
              <w:t>713 children (male: n=330, female: n=383;  10 - 11 years old) from SPACES.</w:t>
            </w:r>
          </w:p>
        </w:tc>
        <w:tc>
          <w:tcPr>
            <w:tcW w:w="2693" w:type="dxa"/>
          </w:tcPr>
          <w:p w14:paraId="1FF192DD" w14:textId="77777777" w:rsidR="000263E9" w:rsidRPr="00B70107" w:rsidRDefault="000263E9" w:rsidP="001A01DC">
            <w:pPr>
              <w:rPr>
                <w:sz w:val="20"/>
                <w:szCs w:val="20"/>
              </w:rPr>
            </w:pPr>
            <w:r w:rsidRPr="00B70107">
              <w:rPr>
                <w:sz w:val="20"/>
                <w:szCs w:val="20"/>
              </w:rPr>
              <w:t xml:space="preserve">Cross-sectional study. Data collected between May 2015 and May 2016 (in partnership with the Growing Up in Scotland Study, a nationally representative longitudinal cohort study). Children completed a travel diary and reported how they travel </w:t>
            </w:r>
            <w:r w:rsidRPr="00B70107">
              <w:rPr>
                <w:b/>
                <w:bCs/>
                <w:sz w:val="20"/>
                <w:szCs w:val="20"/>
              </w:rPr>
              <w:t>to</w:t>
            </w:r>
            <w:r w:rsidRPr="00B70107">
              <w:rPr>
                <w:sz w:val="20"/>
                <w:szCs w:val="20"/>
              </w:rPr>
              <w:t xml:space="preserve"> and </w:t>
            </w:r>
            <w:r w:rsidRPr="00B70107">
              <w:rPr>
                <w:b/>
                <w:bCs/>
                <w:sz w:val="20"/>
                <w:szCs w:val="20"/>
              </w:rPr>
              <w:t>from</w:t>
            </w:r>
            <w:r w:rsidRPr="00B70107">
              <w:rPr>
                <w:sz w:val="20"/>
                <w:szCs w:val="20"/>
              </w:rPr>
              <w:t xml:space="preserve"> school each day during two school weeks (10 days/20 trips). Travel diaries completed at home under the supervision of their parent/carer. An active school travel variable was created to consider any school journey(s) that included a stage recording travel by foot, cycling, scooter and/or skateboard. Children (n=713) provided travel diary data for up to 20 trips (10 trips to school and 10 trips home from school over a 2-week period).</w:t>
            </w:r>
          </w:p>
        </w:tc>
        <w:tc>
          <w:tcPr>
            <w:tcW w:w="3969" w:type="dxa"/>
          </w:tcPr>
          <w:p w14:paraId="119BE6C7" w14:textId="77777777" w:rsidR="000263E9" w:rsidRPr="00B70107" w:rsidRDefault="000263E9" w:rsidP="001A01DC">
            <w:pPr>
              <w:rPr>
                <w:sz w:val="20"/>
                <w:szCs w:val="20"/>
              </w:rPr>
            </w:pPr>
            <w:r w:rsidRPr="00B70107">
              <w:rPr>
                <w:sz w:val="20"/>
                <w:szCs w:val="20"/>
              </w:rPr>
              <w:t>*Only children aged 10-11 considered for the study, although sample size is fair. Not used for grading</w:t>
            </w:r>
          </w:p>
          <w:p w14:paraId="24F12681" w14:textId="77777777" w:rsidR="000263E9" w:rsidRPr="00B70107" w:rsidRDefault="000263E9" w:rsidP="001A01DC">
            <w:pPr>
              <w:rPr>
                <w:sz w:val="20"/>
                <w:szCs w:val="20"/>
              </w:rPr>
            </w:pPr>
          </w:p>
          <w:p w14:paraId="525EDDE8" w14:textId="77777777" w:rsidR="000263E9" w:rsidRPr="00B70107" w:rsidRDefault="000263E9" w:rsidP="001A01DC">
            <w:pPr>
              <w:rPr>
                <w:sz w:val="20"/>
                <w:szCs w:val="20"/>
              </w:rPr>
            </w:pPr>
            <w:r w:rsidRPr="00B70107">
              <w:rPr>
                <w:sz w:val="20"/>
                <w:szCs w:val="20"/>
              </w:rPr>
              <w:t xml:space="preserve">42.7% of children reported active travel to school all the time (‘all travel’); 65.7% reported active travel most of the time (‘active 60%+ travel’) considering to and from school (both directions combined). </w:t>
            </w:r>
          </w:p>
        </w:tc>
        <w:tc>
          <w:tcPr>
            <w:tcW w:w="3180" w:type="dxa"/>
          </w:tcPr>
          <w:p w14:paraId="1C73EC38" w14:textId="77777777" w:rsidR="000263E9" w:rsidRPr="00B70107" w:rsidRDefault="000263E9" w:rsidP="001A01DC">
            <w:pPr>
              <w:rPr>
                <w:b/>
                <w:bCs/>
                <w:sz w:val="20"/>
                <w:szCs w:val="20"/>
              </w:rPr>
            </w:pPr>
            <w:r w:rsidRPr="00B70107">
              <w:rPr>
                <w:b/>
                <w:bCs/>
                <w:sz w:val="20"/>
                <w:szCs w:val="20"/>
              </w:rPr>
              <w:t>Interesting reasons for results:</w:t>
            </w:r>
          </w:p>
          <w:p w14:paraId="2639D924" w14:textId="77777777" w:rsidR="000263E9" w:rsidRPr="00B70107" w:rsidRDefault="000263E9" w:rsidP="001A01DC">
            <w:pPr>
              <w:rPr>
                <w:sz w:val="20"/>
                <w:szCs w:val="20"/>
              </w:rPr>
            </w:pPr>
            <w:r w:rsidRPr="00B70107">
              <w:rPr>
                <w:sz w:val="20"/>
                <w:szCs w:val="20"/>
              </w:rPr>
              <w:t xml:space="preserve">The likelihood of using an active mode of travel for all or most school journeys generally </w:t>
            </w:r>
            <w:r w:rsidRPr="00B70107">
              <w:rPr>
                <w:b/>
                <w:bCs/>
                <w:sz w:val="20"/>
                <w:szCs w:val="20"/>
              </w:rPr>
              <w:t>decreased</w:t>
            </w:r>
            <w:r w:rsidRPr="00B70107">
              <w:rPr>
                <w:sz w:val="20"/>
                <w:szCs w:val="20"/>
              </w:rPr>
              <w:t xml:space="preserve"> with </w:t>
            </w:r>
            <w:r w:rsidRPr="00B70107">
              <w:rPr>
                <w:b/>
                <w:bCs/>
                <w:sz w:val="20"/>
                <w:szCs w:val="20"/>
              </w:rPr>
              <w:t>increasing</w:t>
            </w:r>
            <w:r w:rsidRPr="00B70107">
              <w:rPr>
                <w:sz w:val="20"/>
                <w:szCs w:val="20"/>
              </w:rPr>
              <w:t xml:space="preserve"> </w:t>
            </w:r>
            <w:r w:rsidRPr="00B70107">
              <w:rPr>
                <w:b/>
                <w:bCs/>
                <w:sz w:val="20"/>
                <w:szCs w:val="20"/>
              </w:rPr>
              <w:t>home-to-school distance</w:t>
            </w:r>
            <w:r w:rsidRPr="00B70107">
              <w:rPr>
                <w:sz w:val="20"/>
                <w:szCs w:val="20"/>
              </w:rPr>
              <w:t xml:space="preserve">, and active travel to school was </w:t>
            </w:r>
            <w:r w:rsidRPr="00B70107">
              <w:rPr>
                <w:b/>
                <w:bCs/>
                <w:sz w:val="20"/>
                <w:szCs w:val="20"/>
              </w:rPr>
              <w:t>less likely for those living within the least walkable areas</w:t>
            </w:r>
            <w:r w:rsidRPr="00B70107">
              <w:rPr>
                <w:sz w:val="20"/>
                <w:szCs w:val="20"/>
              </w:rPr>
              <w:t>.</w:t>
            </w:r>
          </w:p>
          <w:p w14:paraId="144C07C8" w14:textId="77777777" w:rsidR="000263E9" w:rsidRPr="00B70107" w:rsidRDefault="000263E9" w:rsidP="001A01DC">
            <w:pPr>
              <w:rPr>
                <w:sz w:val="20"/>
                <w:szCs w:val="20"/>
              </w:rPr>
            </w:pPr>
          </w:p>
          <w:p w14:paraId="43D344FE" w14:textId="77777777" w:rsidR="000263E9" w:rsidRPr="00B70107" w:rsidRDefault="000263E9" w:rsidP="001A01DC">
            <w:pPr>
              <w:rPr>
                <w:sz w:val="20"/>
                <w:szCs w:val="20"/>
              </w:rPr>
            </w:pPr>
          </w:p>
        </w:tc>
      </w:tr>
      <w:tr w:rsidR="000263E9" w:rsidRPr="00B70107" w14:paraId="60A161A9" w14:textId="77777777" w:rsidTr="001A01DC">
        <w:tc>
          <w:tcPr>
            <w:tcW w:w="2405" w:type="dxa"/>
          </w:tcPr>
          <w:p w14:paraId="039F7659" w14:textId="77777777" w:rsidR="000263E9" w:rsidRPr="00B70107" w:rsidRDefault="000263E9" w:rsidP="001A01DC">
            <w:pPr>
              <w:rPr>
                <w:b/>
                <w:bCs/>
                <w:sz w:val="20"/>
                <w:szCs w:val="20"/>
              </w:rPr>
            </w:pPr>
            <w:r w:rsidRPr="00B70107">
              <w:rPr>
                <w:b/>
                <w:bCs/>
                <w:sz w:val="20"/>
                <w:szCs w:val="20"/>
              </w:rPr>
              <w:t>12-Year Trends in Active School Transport across Four European Countries—Findings from the Health Behaviour in School-Aged Children (HBSC) Study</w:t>
            </w:r>
          </w:p>
          <w:p w14:paraId="178BD4C7" w14:textId="77777777" w:rsidR="000263E9" w:rsidRPr="00B70107" w:rsidRDefault="000263E9" w:rsidP="001A01DC">
            <w:pPr>
              <w:rPr>
                <w:b/>
                <w:bCs/>
                <w:sz w:val="20"/>
                <w:szCs w:val="20"/>
              </w:rPr>
            </w:pPr>
          </w:p>
          <w:p w14:paraId="6A6EA2B8" w14:textId="77777777" w:rsidR="000263E9" w:rsidRPr="00B70107" w:rsidRDefault="000263E9" w:rsidP="001A01DC">
            <w:pPr>
              <w:rPr>
                <w:b/>
                <w:bCs/>
                <w:sz w:val="20"/>
                <w:szCs w:val="20"/>
              </w:rPr>
            </w:pPr>
            <w:r w:rsidRPr="00B70107">
              <w:rPr>
                <w:b/>
                <w:bCs/>
                <w:sz w:val="20"/>
                <w:szCs w:val="20"/>
              </w:rPr>
              <w:t>Reference:</w:t>
            </w:r>
          </w:p>
          <w:p w14:paraId="3165512D" w14:textId="77777777" w:rsidR="000263E9" w:rsidRPr="00B70107" w:rsidRDefault="000263E9" w:rsidP="001A01DC">
            <w:pPr>
              <w:rPr>
                <w:sz w:val="20"/>
                <w:szCs w:val="20"/>
              </w:rPr>
            </w:pPr>
            <w:r w:rsidRPr="00B70107">
              <w:rPr>
                <w:sz w:val="20"/>
                <w:szCs w:val="20"/>
              </w:rPr>
              <w:t xml:space="preserve">Haug,E.;Smith,O.R.F.; Bucksch, J.; Brindley, C.; Pavelka, J.; Hamrik, Z.; Inchley, J.; Roberts, C.; Mathisen, F.K.S.; Sigmundová, D. 12-Year Trends in Active School Transport across Four European Countries—Findings from the Health Behaviour in School-Aged Children (HBSC) Study. Int. J. Environ. Res. Public Health 2021, 18, 2118. </w:t>
            </w:r>
          </w:p>
          <w:p w14:paraId="16E7E725" w14:textId="77777777" w:rsidR="000263E9" w:rsidRPr="00B70107" w:rsidRDefault="000263E9" w:rsidP="001A01DC">
            <w:pPr>
              <w:rPr>
                <w:sz w:val="20"/>
                <w:szCs w:val="20"/>
              </w:rPr>
            </w:pPr>
            <w:r w:rsidRPr="00B70107">
              <w:rPr>
                <w:sz w:val="20"/>
                <w:szCs w:val="20"/>
              </w:rPr>
              <w:t xml:space="preserve">https:// doi.org/10.3390/ijerph18042118 </w:t>
            </w:r>
          </w:p>
        </w:tc>
        <w:tc>
          <w:tcPr>
            <w:tcW w:w="1701" w:type="dxa"/>
          </w:tcPr>
          <w:p w14:paraId="599B27F8" w14:textId="77777777" w:rsidR="000263E9" w:rsidRPr="00B70107" w:rsidRDefault="000263E9" w:rsidP="001A01DC">
            <w:pPr>
              <w:rPr>
                <w:sz w:val="20"/>
                <w:szCs w:val="20"/>
              </w:rPr>
            </w:pPr>
            <w:r w:rsidRPr="00B70107">
              <w:rPr>
                <w:sz w:val="20"/>
                <w:szCs w:val="20"/>
              </w:rPr>
              <w:t xml:space="preserve">Data from 88,212 students (11, 13 and 15 years old) from Czech Republic, Norway, Scotland, and Wales. </w:t>
            </w:r>
          </w:p>
          <w:p w14:paraId="30593168" w14:textId="77777777" w:rsidR="000263E9" w:rsidRPr="00B70107" w:rsidRDefault="000263E9" w:rsidP="001A01DC">
            <w:pPr>
              <w:rPr>
                <w:sz w:val="20"/>
                <w:szCs w:val="20"/>
              </w:rPr>
            </w:pPr>
          </w:p>
          <w:p w14:paraId="68C9343A" w14:textId="77777777" w:rsidR="000263E9" w:rsidRPr="00B70107" w:rsidRDefault="000263E9" w:rsidP="001A01DC">
            <w:pPr>
              <w:rPr>
                <w:sz w:val="20"/>
                <w:szCs w:val="20"/>
              </w:rPr>
            </w:pPr>
            <w:r w:rsidRPr="00B70107">
              <w:rPr>
                <w:b/>
                <w:bCs/>
                <w:sz w:val="20"/>
                <w:szCs w:val="20"/>
              </w:rPr>
              <w:t>Scottish sample</w:t>
            </w:r>
            <w:r w:rsidRPr="00B70107">
              <w:rPr>
                <w:sz w:val="20"/>
                <w:szCs w:val="20"/>
              </w:rPr>
              <w:t>:</w:t>
            </w:r>
          </w:p>
          <w:p w14:paraId="09E57FEC" w14:textId="77777777" w:rsidR="000263E9" w:rsidRPr="00B70107" w:rsidRDefault="000263E9" w:rsidP="001A01DC">
            <w:pPr>
              <w:rPr>
                <w:sz w:val="20"/>
                <w:szCs w:val="20"/>
              </w:rPr>
            </w:pPr>
            <w:r w:rsidRPr="00B70107">
              <w:rPr>
                <w:sz w:val="20"/>
                <w:szCs w:val="20"/>
              </w:rPr>
              <w:t xml:space="preserve">In 2006: n=5720, 2010: n=6274, 2014: n=5340, and </w:t>
            </w:r>
          </w:p>
          <w:p w14:paraId="446934F6" w14:textId="77777777" w:rsidR="000263E9" w:rsidRPr="00B70107" w:rsidRDefault="000263E9" w:rsidP="001A01DC">
            <w:pPr>
              <w:rPr>
                <w:sz w:val="20"/>
                <w:szCs w:val="20"/>
              </w:rPr>
            </w:pPr>
            <w:r w:rsidRPr="00B70107">
              <w:rPr>
                <w:sz w:val="20"/>
                <w:szCs w:val="20"/>
              </w:rPr>
              <w:t xml:space="preserve">2018: n= 4563 </w:t>
            </w:r>
          </w:p>
          <w:p w14:paraId="13218C00" w14:textId="77777777" w:rsidR="000263E9" w:rsidRPr="00B70107" w:rsidRDefault="000263E9" w:rsidP="001A01DC">
            <w:pPr>
              <w:rPr>
                <w:sz w:val="20"/>
                <w:szCs w:val="20"/>
              </w:rPr>
            </w:pPr>
          </w:p>
          <w:p w14:paraId="09048C2F" w14:textId="77777777" w:rsidR="000263E9" w:rsidRPr="00B70107" w:rsidRDefault="000263E9" w:rsidP="001A01DC">
            <w:pPr>
              <w:rPr>
                <w:sz w:val="20"/>
                <w:szCs w:val="20"/>
              </w:rPr>
            </w:pPr>
          </w:p>
          <w:p w14:paraId="0E8292B0" w14:textId="77777777" w:rsidR="000263E9" w:rsidRPr="00B70107" w:rsidRDefault="000263E9" w:rsidP="001A01DC">
            <w:pPr>
              <w:rPr>
                <w:sz w:val="20"/>
                <w:szCs w:val="20"/>
              </w:rPr>
            </w:pPr>
          </w:p>
        </w:tc>
        <w:tc>
          <w:tcPr>
            <w:tcW w:w="2693" w:type="dxa"/>
          </w:tcPr>
          <w:p w14:paraId="42421279" w14:textId="77777777" w:rsidR="000263E9" w:rsidRPr="00B70107" w:rsidRDefault="000263E9" w:rsidP="001A01DC">
            <w:pPr>
              <w:rPr>
                <w:sz w:val="20"/>
                <w:szCs w:val="20"/>
              </w:rPr>
            </w:pPr>
            <w:r w:rsidRPr="00B70107">
              <w:rPr>
                <w:sz w:val="20"/>
                <w:szCs w:val="20"/>
              </w:rPr>
              <w:t xml:space="preserve">Using data from the Health Behaviour in School-Aged Children (HBSC) study collected in 2006, 2010, 2014, and 2018 in the Czech Republic, Norway, Scotland, and Wales, recent trends in active school transport were explored using a cross-sectional study design (conducted every fourth year). </w:t>
            </w:r>
          </w:p>
          <w:p w14:paraId="7BCB900F" w14:textId="77777777" w:rsidR="000263E9" w:rsidRPr="00B70107" w:rsidRDefault="000263E9" w:rsidP="001A01DC">
            <w:pPr>
              <w:rPr>
                <w:sz w:val="20"/>
                <w:szCs w:val="20"/>
              </w:rPr>
            </w:pPr>
          </w:p>
          <w:p w14:paraId="4B628310" w14:textId="77777777" w:rsidR="000263E9" w:rsidRPr="00B70107" w:rsidRDefault="000263E9" w:rsidP="001A01DC">
            <w:pPr>
              <w:rPr>
                <w:sz w:val="20"/>
                <w:szCs w:val="20"/>
              </w:rPr>
            </w:pPr>
            <w:r w:rsidRPr="00B70107">
              <w:rPr>
                <w:sz w:val="20"/>
                <w:szCs w:val="20"/>
              </w:rPr>
              <w:t xml:space="preserve">Mode of travel </w:t>
            </w:r>
            <w:r w:rsidRPr="00B70107">
              <w:rPr>
                <w:b/>
                <w:bCs/>
                <w:sz w:val="20"/>
                <w:szCs w:val="20"/>
              </w:rPr>
              <w:t>to</w:t>
            </w:r>
            <w:r w:rsidRPr="00B70107">
              <w:rPr>
                <w:sz w:val="20"/>
                <w:szCs w:val="20"/>
              </w:rPr>
              <w:t xml:space="preserve"> and </w:t>
            </w:r>
            <w:r w:rsidRPr="00B70107">
              <w:rPr>
                <w:b/>
                <w:bCs/>
                <w:sz w:val="20"/>
                <w:szCs w:val="20"/>
              </w:rPr>
              <w:t>from</w:t>
            </w:r>
            <w:r w:rsidRPr="00B70107">
              <w:rPr>
                <w:sz w:val="20"/>
                <w:szCs w:val="20"/>
              </w:rPr>
              <w:t xml:space="preserve"> school was assessed with two questions: </w:t>
            </w:r>
            <w:r w:rsidRPr="00B70107">
              <w:rPr>
                <w:i/>
                <w:iCs/>
                <w:sz w:val="20"/>
                <w:szCs w:val="20"/>
              </w:rPr>
              <w:t>“On a typical day is the main part of your journey to school made by __?”</w:t>
            </w:r>
            <w:r w:rsidRPr="00B70107">
              <w:rPr>
                <w:sz w:val="20"/>
                <w:szCs w:val="20"/>
              </w:rPr>
              <w:t xml:space="preserve"> and </w:t>
            </w:r>
            <w:r w:rsidRPr="00B70107">
              <w:rPr>
                <w:i/>
                <w:iCs/>
                <w:sz w:val="20"/>
                <w:szCs w:val="20"/>
              </w:rPr>
              <w:t>“On a typical day is the main part of your journey from school made by __?”</w:t>
            </w:r>
            <w:r w:rsidRPr="00B70107">
              <w:rPr>
                <w:sz w:val="20"/>
                <w:szCs w:val="20"/>
              </w:rPr>
              <w:t xml:space="preserve">. </w:t>
            </w:r>
          </w:p>
          <w:p w14:paraId="1D4AE125" w14:textId="77777777" w:rsidR="000263E9" w:rsidRPr="00B70107" w:rsidRDefault="000263E9" w:rsidP="001A01DC">
            <w:pPr>
              <w:rPr>
                <w:sz w:val="20"/>
                <w:szCs w:val="20"/>
              </w:rPr>
            </w:pPr>
          </w:p>
          <w:p w14:paraId="5CAC043C" w14:textId="77777777" w:rsidR="000263E9" w:rsidRPr="00B70107" w:rsidRDefault="000263E9" w:rsidP="001A01DC">
            <w:pPr>
              <w:rPr>
                <w:sz w:val="20"/>
                <w:szCs w:val="20"/>
              </w:rPr>
            </w:pPr>
            <w:r w:rsidRPr="00B70107">
              <w:rPr>
                <w:sz w:val="20"/>
                <w:szCs w:val="20"/>
              </w:rPr>
              <w:t>Response options included: 1. Walking, 2. Bicycle, 3. Bus, 4. Train, 5. Tram, underground or boat, 6. Car, motorcycle or moped, 7. Other means.</w:t>
            </w:r>
          </w:p>
        </w:tc>
        <w:tc>
          <w:tcPr>
            <w:tcW w:w="3969" w:type="dxa"/>
          </w:tcPr>
          <w:p w14:paraId="4E2B49B0" w14:textId="77777777" w:rsidR="000263E9" w:rsidRPr="00B70107" w:rsidRDefault="000263E9" w:rsidP="001A01DC">
            <w:pPr>
              <w:rPr>
                <w:b/>
                <w:bCs/>
                <w:sz w:val="20"/>
                <w:szCs w:val="20"/>
              </w:rPr>
            </w:pPr>
            <w:r w:rsidRPr="00B70107">
              <w:rPr>
                <w:b/>
                <w:bCs/>
                <w:sz w:val="20"/>
                <w:szCs w:val="20"/>
              </w:rPr>
              <w:t>In Scotland:</w:t>
            </w:r>
          </w:p>
          <w:p w14:paraId="6DB6C13F" w14:textId="77777777" w:rsidR="000263E9" w:rsidRPr="00B70107" w:rsidRDefault="000263E9" w:rsidP="001A01DC">
            <w:pPr>
              <w:rPr>
                <w:b/>
                <w:bCs/>
                <w:sz w:val="20"/>
                <w:szCs w:val="20"/>
                <w:u w:val="single"/>
              </w:rPr>
            </w:pPr>
            <w:r w:rsidRPr="00B70107">
              <w:rPr>
                <w:b/>
                <w:bCs/>
                <w:sz w:val="20"/>
                <w:szCs w:val="20"/>
                <w:u w:val="single"/>
              </w:rPr>
              <w:t>AVERAGE active travel across survey years:</w:t>
            </w:r>
          </w:p>
          <w:p w14:paraId="172085B3" w14:textId="77777777" w:rsidR="000263E9" w:rsidRPr="00B70107" w:rsidRDefault="000263E9" w:rsidP="001A01DC">
            <w:pPr>
              <w:rPr>
                <w:sz w:val="20"/>
                <w:szCs w:val="20"/>
              </w:rPr>
            </w:pPr>
            <w:r w:rsidRPr="00B70107">
              <w:rPr>
                <w:sz w:val="20"/>
                <w:szCs w:val="20"/>
              </w:rPr>
              <w:t>Walking both ways: 44.6%</w:t>
            </w:r>
          </w:p>
          <w:p w14:paraId="55B5E896" w14:textId="77777777" w:rsidR="000263E9" w:rsidRPr="00B70107" w:rsidRDefault="000263E9" w:rsidP="001A01DC">
            <w:pPr>
              <w:rPr>
                <w:sz w:val="20"/>
                <w:szCs w:val="20"/>
              </w:rPr>
            </w:pPr>
            <w:r w:rsidRPr="00B70107">
              <w:rPr>
                <w:sz w:val="20"/>
                <w:szCs w:val="20"/>
              </w:rPr>
              <w:t>Cycling both ways: 1.3%</w:t>
            </w:r>
          </w:p>
          <w:p w14:paraId="3EA8A40D" w14:textId="77777777" w:rsidR="000263E9" w:rsidRPr="00B70107" w:rsidRDefault="000263E9" w:rsidP="001A01DC">
            <w:pPr>
              <w:rPr>
                <w:sz w:val="20"/>
                <w:szCs w:val="20"/>
              </w:rPr>
            </w:pPr>
            <w:r w:rsidRPr="00B70107">
              <w:rPr>
                <w:sz w:val="20"/>
                <w:szCs w:val="20"/>
              </w:rPr>
              <w:t>One-way active school travel: 9.6%</w:t>
            </w:r>
          </w:p>
          <w:p w14:paraId="66AA4D3A" w14:textId="77777777" w:rsidR="000263E9" w:rsidRPr="00B70107" w:rsidRDefault="000263E9" w:rsidP="001A01DC">
            <w:pPr>
              <w:rPr>
                <w:sz w:val="20"/>
                <w:szCs w:val="20"/>
              </w:rPr>
            </w:pPr>
            <w:r w:rsidRPr="00B70107">
              <w:rPr>
                <w:sz w:val="20"/>
                <w:szCs w:val="20"/>
              </w:rPr>
              <w:t>Active school travel both ways: 46.0%</w:t>
            </w:r>
          </w:p>
          <w:p w14:paraId="2E61A75A" w14:textId="77777777" w:rsidR="000263E9" w:rsidRPr="00B70107" w:rsidRDefault="000263E9" w:rsidP="001A01DC">
            <w:pPr>
              <w:rPr>
                <w:b/>
                <w:bCs/>
                <w:sz w:val="20"/>
                <w:szCs w:val="20"/>
                <w:u w:val="single"/>
              </w:rPr>
            </w:pPr>
            <w:r w:rsidRPr="00B70107">
              <w:rPr>
                <w:b/>
                <w:bCs/>
                <w:sz w:val="20"/>
                <w:szCs w:val="20"/>
                <w:u w:val="single"/>
              </w:rPr>
              <w:t>Per year %s</w:t>
            </w:r>
          </w:p>
          <w:p w14:paraId="735DF624" w14:textId="77777777" w:rsidR="000263E9" w:rsidRPr="00B70107" w:rsidRDefault="000263E9" w:rsidP="001A01DC">
            <w:pPr>
              <w:rPr>
                <w:b/>
                <w:bCs/>
                <w:sz w:val="20"/>
                <w:szCs w:val="20"/>
              </w:rPr>
            </w:pPr>
            <w:r w:rsidRPr="00B70107">
              <w:rPr>
                <w:b/>
                <w:bCs/>
                <w:sz w:val="20"/>
                <w:szCs w:val="20"/>
              </w:rPr>
              <w:t xml:space="preserve">Walking both ways: </w:t>
            </w:r>
          </w:p>
          <w:p w14:paraId="76B8CA19" w14:textId="77777777" w:rsidR="000263E9" w:rsidRPr="00B70107" w:rsidRDefault="000263E9" w:rsidP="001A01DC">
            <w:pPr>
              <w:rPr>
                <w:sz w:val="20"/>
                <w:szCs w:val="20"/>
              </w:rPr>
            </w:pPr>
            <w:r w:rsidRPr="00B70107">
              <w:rPr>
                <w:sz w:val="20"/>
                <w:szCs w:val="20"/>
              </w:rPr>
              <w:t xml:space="preserve">45.7% (2006), </w:t>
            </w:r>
          </w:p>
          <w:p w14:paraId="2A2E0736" w14:textId="77777777" w:rsidR="000263E9" w:rsidRPr="00B70107" w:rsidRDefault="000263E9" w:rsidP="001A01DC">
            <w:pPr>
              <w:rPr>
                <w:sz w:val="20"/>
                <w:szCs w:val="20"/>
              </w:rPr>
            </w:pPr>
            <w:r w:rsidRPr="00B70107">
              <w:rPr>
                <w:sz w:val="20"/>
                <w:szCs w:val="20"/>
              </w:rPr>
              <w:t xml:space="preserve">46% (2010), </w:t>
            </w:r>
          </w:p>
          <w:p w14:paraId="42D76C46" w14:textId="77777777" w:rsidR="000263E9" w:rsidRPr="00B70107" w:rsidRDefault="000263E9" w:rsidP="001A01DC">
            <w:pPr>
              <w:rPr>
                <w:sz w:val="20"/>
                <w:szCs w:val="20"/>
              </w:rPr>
            </w:pPr>
            <w:r w:rsidRPr="00B70107">
              <w:rPr>
                <w:sz w:val="20"/>
                <w:szCs w:val="20"/>
              </w:rPr>
              <w:t xml:space="preserve">43.9% (2014), </w:t>
            </w:r>
          </w:p>
          <w:p w14:paraId="5D61821C" w14:textId="77777777" w:rsidR="000263E9" w:rsidRPr="00B70107" w:rsidRDefault="000263E9" w:rsidP="001A01DC">
            <w:pPr>
              <w:rPr>
                <w:sz w:val="20"/>
                <w:szCs w:val="20"/>
              </w:rPr>
            </w:pPr>
            <w:r w:rsidRPr="00B70107">
              <w:rPr>
                <w:sz w:val="20"/>
                <w:szCs w:val="20"/>
              </w:rPr>
              <w:t>42.1% (2018)</w:t>
            </w:r>
          </w:p>
          <w:p w14:paraId="00C94D5C" w14:textId="77777777" w:rsidR="000263E9" w:rsidRPr="00B70107" w:rsidRDefault="000263E9" w:rsidP="001A01DC">
            <w:pPr>
              <w:rPr>
                <w:b/>
                <w:bCs/>
                <w:sz w:val="20"/>
                <w:szCs w:val="20"/>
              </w:rPr>
            </w:pPr>
            <w:r w:rsidRPr="00B70107">
              <w:rPr>
                <w:b/>
                <w:bCs/>
                <w:sz w:val="20"/>
                <w:szCs w:val="20"/>
              </w:rPr>
              <w:t xml:space="preserve">Cycling both ways: </w:t>
            </w:r>
          </w:p>
          <w:p w14:paraId="45A96616" w14:textId="77777777" w:rsidR="000263E9" w:rsidRPr="00B70107" w:rsidRDefault="000263E9" w:rsidP="001A01DC">
            <w:pPr>
              <w:rPr>
                <w:sz w:val="20"/>
                <w:szCs w:val="20"/>
              </w:rPr>
            </w:pPr>
            <w:r w:rsidRPr="00B70107">
              <w:rPr>
                <w:sz w:val="20"/>
                <w:szCs w:val="20"/>
              </w:rPr>
              <w:t xml:space="preserve">1% (2006), </w:t>
            </w:r>
          </w:p>
          <w:p w14:paraId="0EBE4585" w14:textId="77777777" w:rsidR="000263E9" w:rsidRPr="00B70107" w:rsidRDefault="000263E9" w:rsidP="001A01DC">
            <w:pPr>
              <w:rPr>
                <w:sz w:val="20"/>
                <w:szCs w:val="20"/>
              </w:rPr>
            </w:pPr>
            <w:r w:rsidRPr="00B70107">
              <w:rPr>
                <w:sz w:val="20"/>
                <w:szCs w:val="20"/>
              </w:rPr>
              <w:t xml:space="preserve">1% (2010), </w:t>
            </w:r>
          </w:p>
          <w:p w14:paraId="347DB0FF" w14:textId="77777777" w:rsidR="000263E9" w:rsidRPr="00B70107" w:rsidRDefault="000263E9" w:rsidP="001A01DC">
            <w:pPr>
              <w:rPr>
                <w:sz w:val="20"/>
                <w:szCs w:val="20"/>
              </w:rPr>
            </w:pPr>
            <w:r w:rsidRPr="00B70107">
              <w:rPr>
                <w:sz w:val="20"/>
                <w:szCs w:val="20"/>
              </w:rPr>
              <w:t xml:space="preserve">2% (2014), </w:t>
            </w:r>
          </w:p>
          <w:p w14:paraId="54FBEA85" w14:textId="77777777" w:rsidR="000263E9" w:rsidRPr="00B70107" w:rsidRDefault="000263E9" w:rsidP="001A01DC">
            <w:pPr>
              <w:rPr>
                <w:sz w:val="20"/>
                <w:szCs w:val="20"/>
              </w:rPr>
            </w:pPr>
            <w:r w:rsidRPr="00B70107">
              <w:rPr>
                <w:sz w:val="20"/>
                <w:szCs w:val="20"/>
              </w:rPr>
              <w:t>1.1% (2018)</w:t>
            </w:r>
          </w:p>
          <w:p w14:paraId="5F60DFE2" w14:textId="77777777" w:rsidR="000263E9" w:rsidRPr="00B70107" w:rsidRDefault="000263E9" w:rsidP="001A01DC">
            <w:pPr>
              <w:rPr>
                <w:b/>
                <w:bCs/>
                <w:sz w:val="20"/>
                <w:szCs w:val="20"/>
              </w:rPr>
            </w:pPr>
            <w:r w:rsidRPr="00B70107">
              <w:rPr>
                <w:b/>
                <w:bCs/>
                <w:sz w:val="20"/>
                <w:szCs w:val="20"/>
              </w:rPr>
              <w:t xml:space="preserve">One-way active school travel: </w:t>
            </w:r>
          </w:p>
          <w:p w14:paraId="2279CCB3" w14:textId="77777777" w:rsidR="000263E9" w:rsidRPr="00B70107" w:rsidRDefault="000263E9" w:rsidP="001A01DC">
            <w:pPr>
              <w:rPr>
                <w:sz w:val="20"/>
                <w:szCs w:val="20"/>
              </w:rPr>
            </w:pPr>
            <w:r w:rsidRPr="00B70107">
              <w:rPr>
                <w:sz w:val="20"/>
                <w:szCs w:val="20"/>
              </w:rPr>
              <w:t xml:space="preserve">10% (2006), </w:t>
            </w:r>
          </w:p>
          <w:p w14:paraId="35AEC293" w14:textId="77777777" w:rsidR="000263E9" w:rsidRPr="00B70107" w:rsidRDefault="000263E9" w:rsidP="001A01DC">
            <w:pPr>
              <w:rPr>
                <w:sz w:val="20"/>
                <w:szCs w:val="20"/>
              </w:rPr>
            </w:pPr>
            <w:r w:rsidRPr="00B70107">
              <w:rPr>
                <w:sz w:val="20"/>
                <w:szCs w:val="20"/>
              </w:rPr>
              <w:t xml:space="preserve">9.5% (2010), </w:t>
            </w:r>
          </w:p>
          <w:p w14:paraId="0C6B4930" w14:textId="77777777" w:rsidR="000263E9" w:rsidRPr="00B70107" w:rsidRDefault="000263E9" w:rsidP="001A01DC">
            <w:pPr>
              <w:rPr>
                <w:sz w:val="20"/>
                <w:szCs w:val="20"/>
              </w:rPr>
            </w:pPr>
            <w:r w:rsidRPr="00B70107">
              <w:rPr>
                <w:sz w:val="20"/>
                <w:szCs w:val="20"/>
              </w:rPr>
              <w:t xml:space="preserve">9.2% (2014), </w:t>
            </w:r>
          </w:p>
          <w:p w14:paraId="0AE36A5E" w14:textId="77777777" w:rsidR="000263E9" w:rsidRPr="00B70107" w:rsidRDefault="000263E9" w:rsidP="001A01DC">
            <w:pPr>
              <w:rPr>
                <w:sz w:val="20"/>
                <w:szCs w:val="20"/>
              </w:rPr>
            </w:pPr>
            <w:r w:rsidRPr="00B70107">
              <w:rPr>
                <w:sz w:val="20"/>
                <w:szCs w:val="20"/>
              </w:rPr>
              <w:t>9.6% (2018)</w:t>
            </w:r>
          </w:p>
          <w:p w14:paraId="517446E7" w14:textId="77777777" w:rsidR="000263E9" w:rsidRPr="00B70107" w:rsidRDefault="000263E9" w:rsidP="001A01DC">
            <w:pPr>
              <w:rPr>
                <w:b/>
                <w:bCs/>
                <w:sz w:val="20"/>
                <w:szCs w:val="20"/>
              </w:rPr>
            </w:pPr>
            <w:r w:rsidRPr="00B70107">
              <w:rPr>
                <w:b/>
                <w:bCs/>
                <w:sz w:val="20"/>
                <w:szCs w:val="20"/>
              </w:rPr>
              <w:t xml:space="preserve">Active school travel both ways: </w:t>
            </w:r>
          </w:p>
          <w:p w14:paraId="74D0F2F1" w14:textId="77777777" w:rsidR="000263E9" w:rsidRPr="00B70107" w:rsidRDefault="000263E9" w:rsidP="001A01DC">
            <w:pPr>
              <w:rPr>
                <w:sz w:val="20"/>
                <w:szCs w:val="20"/>
              </w:rPr>
            </w:pPr>
            <w:r w:rsidRPr="00B70107">
              <w:rPr>
                <w:sz w:val="20"/>
                <w:szCs w:val="20"/>
              </w:rPr>
              <w:t xml:space="preserve">46.9% (2006), </w:t>
            </w:r>
          </w:p>
          <w:p w14:paraId="0F04FE64" w14:textId="77777777" w:rsidR="000263E9" w:rsidRPr="00B70107" w:rsidRDefault="000263E9" w:rsidP="001A01DC">
            <w:pPr>
              <w:rPr>
                <w:sz w:val="20"/>
                <w:szCs w:val="20"/>
              </w:rPr>
            </w:pPr>
            <w:r w:rsidRPr="00B70107">
              <w:rPr>
                <w:sz w:val="20"/>
                <w:szCs w:val="20"/>
              </w:rPr>
              <w:t xml:space="preserve">47.2% (2010), </w:t>
            </w:r>
          </w:p>
          <w:p w14:paraId="4D9FF91A" w14:textId="77777777" w:rsidR="000263E9" w:rsidRPr="00B70107" w:rsidRDefault="000263E9" w:rsidP="001A01DC">
            <w:pPr>
              <w:rPr>
                <w:sz w:val="20"/>
                <w:szCs w:val="20"/>
              </w:rPr>
            </w:pPr>
            <w:r w:rsidRPr="00B70107">
              <w:rPr>
                <w:sz w:val="20"/>
                <w:szCs w:val="20"/>
              </w:rPr>
              <w:t xml:space="preserve">46% (2014), </w:t>
            </w:r>
          </w:p>
          <w:p w14:paraId="0D242BD2" w14:textId="77777777" w:rsidR="000263E9" w:rsidRPr="00B70107" w:rsidRDefault="000263E9" w:rsidP="001A01DC">
            <w:pPr>
              <w:rPr>
                <w:sz w:val="20"/>
                <w:szCs w:val="20"/>
              </w:rPr>
            </w:pPr>
            <w:r w:rsidRPr="00B70107">
              <w:rPr>
                <w:sz w:val="20"/>
                <w:szCs w:val="20"/>
              </w:rPr>
              <w:t>43.3% (2018)</w:t>
            </w:r>
          </w:p>
        </w:tc>
        <w:tc>
          <w:tcPr>
            <w:tcW w:w="3180" w:type="dxa"/>
          </w:tcPr>
          <w:p w14:paraId="3FB1D4CE" w14:textId="77777777" w:rsidR="000263E9" w:rsidRPr="00B70107" w:rsidRDefault="000263E9" w:rsidP="001A01DC">
            <w:pPr>
              <w:rPr>
                <w:b/>
                <w:bCs/>
                <w:sz w:val="20"/>
                <w:szCs w:val="20"/>
              </w:rPr>
            </w:pPr>
            <w:r w:rsidRPr="00B70107">
              <w:rPr>
                <w:b/>
                <w:bCs/>
                <w:sz w:val="20"/>
                <w:szCs w:val="20"/>
              </w:rPr>
              <w:t>Other interesting findings:</w:t>
            </w:r>
          </w:p>
          <w:p w14:paraId="243DC18C" w14:textId="77777777" w:rsidR="000263E9" w:rsidRPr="00B70107" w:rsidRDefault="000263E9" w:rsidP="001A01DC">
            <w:pPr>
              <w:rPr>
                <w:sz w:val="20"/>
                <w:szCs w:val="20"/>
              </w:rPr>
            </w:pPr>
            <w:r w:rsidRPr="00B70107">
              <w:rPr>
                <w:sz w:val="20"/>
                <w:szCs w:val="20"/>
              </w:rPr>
              <w:t>Significant gender difference in Scottish 13yo girls for active travel</w:t>
            </w:r>
          </w:p>
          <w:p w14:paraId="7036E21C" w14:textId="77777777" w:rsidR="000263E9" w:rsidRPr="00B70107" w:rsidRDefault="000263E9" w:rsidP="001A01DC">
            <w:pPr>
              <w:rPr>
                <w:sz w:val="20"/>
                <w:szCs w:val="20"/>
              </w:rPr>
            </w:pPr>
            <w:r w:rsidRPr="00B70107">
              <w:rPr>
                <w:sz w:val="20"/>
                <w:szCs w:val="20"/>
              </w:rPr>
              <w:t>[OR, (99.9%CI)] 0.80 (0.64, 0.99) – girls less likely to engage in active school transport.</w:t>
            </w:r>
          </w:p>
          <w:p w14:paraId="048D4C9A" w14:textId="77777777" w:rsidR="000263E9" w:rsidRPr="00B70107" w:rsidRDefault="000263E9" w:rsidP="001A01DC">
            <w:pPr>
              <w:rPr>
                <w:sz w:val="20"/>
                <w:szCs w:val="20"/>
              </w:rPr>
            </w:pPr>
          </w:p>
          <w:p w14:paraId="3BC0704F" w14:textId="77777777" w:rsidR="000263E9" w:rsidRPr="00B70107" w:rsidRDefault="000263E9" w:rsidP="001A01DC">
            <w:pPr>
              <w:rPr>
                <w:sz w:val="20"/>
                <w:szCs w:val="20"/>
              </w:rPr>
            </w:pPr>
            <w:r w:rsidRPr="00B70107">
              <w:rPr>
                <w:sz w:val="20"/>
                <w:szCs w:val="20"/>
              </w:rPr>
              <w:t xml:space="preserve">Children from more affluent families were less likely to have active school transport </w:t>
            </w:r>
            <w:r w:rsidRPr="00B70107">
              <w:rPr>
                <w:b/>
                <w:bCs/>
                <w:sz w:val="20"/>
                <w:szCs w:val="20"/>
              </w:rPr>
              <w:t>both ways</w:t>
            </w:r>
            <w:r w:rsidRPr="00B70107">
              <w:rPr>
                <w:sz w:val="20"/>
                <w:szCs w:val="20"/>
              </w:rPr>
              <w:t xml:space="preserve"> as compared to their counterparts from less affluent families.</w:t>
            </w:r>
          </w:p>
        </w:tc>
      </w:tr>
    </w:tbl>
    <w:p w14:paraId="67DEE90E" w14:textId="245C4088" w:rsidR="000263E9" w:rsidRPr="00B70107" w:rsidRDefault="000263E9" w:rsidP="000263E9"/>
    <w:p w14:paraId="02247914" w14:textId="32480CEB" w:rsidR="00EB4260" w:rsidRDefault="00EB4260" w:rsidP="000263E9"/>
    <w:p w14:paraId="112461F9" w14:textId="39B86CC6" w:rsidR="00B70107" w:rsidRDefault="00B70107" w:rsidP="000263E9"/>
    <w:p w14:paraId="7331C643" w14:textId="715FC526" w:rsidR="00B70107" w:rsidRDefault="00B70107" w:rsidP="000263E9"/>
    <w:p w14:paraId="021B40EA" w14:textId="77777777" w:rsidR="00B70107" w:rsidRPr="00B70107" w:rsidRDefault="00B70107" w:rsidP="000263E9"/>
    <w:p w14:paraId="0D793E4C" w14:textId="003C7D1E" w:rsidR="00EB4260" w:rsidRPr="00B70107" w:rsidRDefault="00EB4260" w:rsidP="000263E9">
      <w:pPr>
        <w:rPr>
          <w:b/>
          <w:sz w:val="28"/>
          <w:szCs w:val="28"/>
        </w:rPr>
      </w:pPr>
      <w:r w:rsidRPr="00B70107">
        <w:rPr>
          <w:b/>
          <w:sz w:val="28"/>
          <w:szCs w:val="28"/>
        </w:rPr>
        <w:t xml:space="preserve">Table 3 Data Considered </w:t>
      </w:r>
      <w:r w:rsidR="00B70107">
        <w:rPr>
          <w:b/>
          <w:sz w:val="28"/>
          <w:szCs w:val="28"/>
        </w:rPr>
        <w:t xml:space="preserve">for the </w:t>
      </w:r>
      <w:r w:rsidRPr="00B70107">
        <w:rPr>
          <w:b/>
          <w:sz w:val="28"/>
          <w:szCs w:val="28"/>
        </w:rPr>
        <w:t>Physical Fitness</w:t>
      </w:r>
      <w:r w:rsidR="00B70107">
        <w:rPr>
          <w:b/>
          <w:sz w:val="28"/>
          <w:szCs w:val="28"/>
        </w:rPr>
        <w:t xml:space="preserve"> Indicator</w:t>
      </w:r>
    </w:p>
    <w:tbl>
      <w:tblPr>
        <w:tblStyle w:val="TableGrid"/>
        <w:tblW w:w="14368" w:type="dxa"/>
        <w:tblLayout w:type="fixed"/>
        <w:tblLook w:val="04A0" w:firstRow="1" w:lastRow="0" w:firstColumn="1" w:lastColumn="0" w:noHBand="0" w:noVBand="1"/>
      </w:tblPr>
      <w:tblGrid>
        <w:gridCol w:w="5046"/>
        <w:gridCol w:w="2057"/>
        <w:gridCol w:w="2557"/>
        <w:gridCol w:w="2687"/>
        <w:gridCol w:w="2021"/>
      </w:tblGrid>
      <w:tr w:rsidR="00D97D23" w:rsidRPr="00B70107" w14:paraId="1C9D0D31" w14:textId="77777777" w:rsidTr="001A01DC">
        <w:tc>
          <w:tcPr>
            <w:tcW w:w="5046" w:type="dxa"/>
          </w:tcPr>
          <w:p w14:paraId="6F44C129" w14:textId="77777777" w:rsidR="00D97D23" w:rsidRPr="00B70107" w:rsidRDefault="00D97D23" w:rsidP="001A01DC">
            <w:pPr>
              <w:jc w:val="center"/>
              <w:rPr>
                <w:b/>
              </w:rPr>
            </w:pPr>
            <w:r w:rsidRPr="00B70107">
              <w:rPr>
                <w:b/>
              </w:rPr>
              <w:t xml:space="preserve">Survey name, year data collected, name of the report and year report published and link(s) to the document/survey </w:t>
            </w:r>
          </w:p>
        </w:tc>
        <w:tc>
          <w:tcPr>
            <w:tcW w:w="2057" w:type="dxa"/>
          </w:tcPr>
          <w:p w14:paraId="3BB347B8" w14:textId="77777777" w:rsidR="00D97D23" w:rsidRPr="00B70107" w:rsidRDefault="00D97D23" w:rsidP="001A01DC">
            <w:pPr>
              <w:jc w:val="center"/>
              <w:rPr>
                <w:b/>
              </w:rPr>
            </w:pPr>
            <w:r w:rsidRPr="00B70107">
              <w:rPr>
                <w:b/>
              </w:rPr>
              <w:t xml:space="preserve">Details of participants </w:t>
            </w:r>
          </w:p>
        </w:tc>
        <w:tc>
          <w:tcPr>
            <w:tcW w:w="2557" w:type="dxa"/>
          </w:tcPr>
          <w:p w14:paraId="67D32134" w14:textId="77777777" w:rsidR="00D97D23" w:rsidRPr="00B70107" w:rsidRDefault="00D97D23" w:rsidP="001A01DC">
            <w:pPr>
              <w:jc w:val="center"/>
              <w:rPr>
                <w:b/>
              </w:rPr>
            </w:pPr>
            <w:r w:rsidRPr="00B70107">
              <w:rPr>
                <w:b/>
              </w:rPr>
              <w:t xml:space="preserve">Method of measurement (including the questions asked in the survey to measure the indicator) </w:t>
            </w:r>
          </w:p>
        </w:tc>
        <w:tc>
          <w:tcPr>
            <w:tcW w:w="2687" w:type="dxa"/>
          </w:tcPr>
          <w:p w14:paraId="29ADAD0C" w14:textId="77777777" w:rsidR="00D97D23" w:rsidRPr="00B70107" w:rsidRDefault="00D97D23" w:rsidP="001A01DC">
            <w:pPr>
              <w:jc w:val="center"/>
              <w:rPr>
                <w:b/>
              </w:rPr>
            </w:pPr>
            <w:r w:rsidRPr="00B70107">
              <w:rPr>
                <w:b/>
              </w:rPr>
              <w:t xml:space="preserve">Findings </w:t>
            </w:r>
          </w:p>
        </w:tc>
        <w:tc>
          <w:tcPr>
            <w:tcW w:w="2021" w:type="dxa"/>
          </w:tcPr>
          <w:p w14:paraId="06D46115" w14:textId="77777777" w:rsidR="00D97D23" w:rsidRPr="00B70107" w:rsidRDefault="00D97D23" w:rsidP="001A01DC">
            <w:pPr>
              <w:jc w:val="center"/>
              <w:rPr>
                <w:b/>
              </w:rPr>
            </w:pPr>
            <w:r w:rsidRPr="00B70107">
              <w:rPr>
                <w:b/>
              </w:rPr>
              <w:t xml:space="preserve">Additional comments </w:t>
            </w:r>
          </w:p>
        </w:tc>
      </w:tr>
      <w:tr w:rsidR="00D97D23" w:rsidRPr="00B70107" w14:paraId="7323C4C0" w14:textId="77777777" w:rsidTr="001A01DC">
        <w:tc>
          <w:tcPr>
            <w:tcW w:w="5046" w:type="dxa"/>
          </w:tcPr>
          <w:p w14:paraId="500FCADF" w14:textId="77777777" w:rsidR="00D97D23" w:rsidRPr="00B70107" w:rsidRDefault="00D97D23" w:rsidP="001A01DC">
            <w:pPr>
              <w:rPr>
                <w:b/>
                <w:sz w:val="20"/>
                <w:szCs w:val="20"/>
              </w:rPr>
            </w:pPr>
          </w:p>
        </w:tc>
        <w:tc>
          <w:tcPr>
            <w:tcW w:w="2057" w:type="dxa"/>
          </w:tcPr>
          <w:p w14:paraId="08E69E16" w14:textId="77777777" w:rsidR="00D97D23" w:rsidRPr="00B70107" w:rsidRDefault="00D97D23" w:rsidP="001A01DC">
            <w:pPr>
              <w:rPr>
                <w:b/>
                <w:strike/>
                <w:sz w:val="20"/>
                <w:szCs w:val="20"/>
              </w:rPr>
            </w:pPr>
          </w:p>
        </w:tc>
        <w:tc>
          <w:tcPr>
            <w:tcW w:w="2557" w:type="dxa"/>
          </w:tcPr>
          <w:p w14:paraId="124B7A00" w14:textId="77777777" w:rsidR="00D97D23" w:rsidRPr="00B70107" w:rsidRDefault="00D97D23" w:rsidP="001A01DC">
            <w:pPr>
              <w:jc w:val="center"/>
              <w:rPr>
                <w:b/>
                <w:sz w:val="20"/>
                <w:szCs w:val="20"/>
              </w:rPr>
            </w:pPr>
          </w:p>
        </w:tc>
        <w:tc>
          <w:tcPr>
            <w:tcW w:w="2687" w:type="dxa"/>
          </w:tcPr>
          <w:p w14:paraId="74941AD4" w14:textId="77777777" w:rsidR="00D97D23" w:rsidRPr="00B70107" w:rsidRDefault="00D97D23" w:rsidP="001A01DC">
            <w:pPr>
              <w:pStyle w:val="Default"/>
              <w:rPr>
                <w:color w:val="auto"/>
                <w:sz w:val="22"/>
                <w:szCs w:val="22"/>
              </w:rPr>
            </w:pPr>
            <w:r w:rsidRPr="00B70107">
              <w:rPr>
                <w:color w:val="auto"/>
                <w:sz w:val="22"/>
                <w:szCs w:val="22"/>
              </w:rPr>
              <w:t xml:space="preserve">We were unable to find any nationally representative data on indicators of physical fitness. </w:t>
            </w:r>
          </w:p>
          <w:p w14:paraId="70D62622" w14:textId="77777777" w:rsidR="00D97D23" w:rsidRPr="00B70107" w:rsidRDefault="00D97D23" w:rsidP="001A01DC">
            <w:pPr>
              <w:pStyle w:val="Default"/>
              <w:rPr>
                <w:color w:val="auto"/>
                <w:sz w:val="22"/>
                <w:szCs w:val="22"/>
              </w:rPr>
            </w:pPr>
          </w:p>
          <w:p w14:paraId="6281CE93" w14:textId="77777777" w:rsidR="00D97D23" w:rsidRPr="00B70107" w:rsidRDefault="00D97D23" w:rsidP="001A01DC">
            <w:pPr>
              <w:pStyle w:val="Default"/>
              <w:rPr>
                <w:color w:val="auto"/>
                <w:sz w:val="22"/>
                <w:szCs w:val="22"/>
              </w:rPr>
            </w:pPr>
            <w:r w:rsidRPr="00B70107">
              <w:rPr>
                <w:color w:val="auto"/>
                <w:sz w:val="22"/>
                <w:szCs w:val="22"/>
              </w:rPr>
              <w:t xml:space="preserve">We will consult with key stakeholders from PEPASS, SportScotland, Active Scotland to check for nationally representative datasources. </w:t>
            </w:r>
          </w:p>
          <w:p w14:paraId="28DED0B8" w14:textId="77777777" w:rsidR="00D97D23" w:rsidRPr="00B70107" w:rsidRDefault="00D97D23" w:rsidP="001A01DC">
            <w:pPr>
              <w:rPr>
                <w:b/>
                <w:bCs/>
              </w:rPr>
            </w:pPr>
          </w:p>
          <w:p w14:paraId="06F9EB3A" w14:textId="77777777" w:rsidR="00D97D23" w:rsidRPr="00B70107" w:rsidRDefault="00D97D23" w:rsidP="001A01DC">
            <w:pPr>
              <w:rPr>
                <w:b/>
                <w:sz w:val="20"/>
                <w:szCs w:val="20"/>
              </w:rPr>
            </w:pPr>
            <w:r w:rsidRPr="00B70107">
              <w:rPr>
                <w:b/>
                <w:bCs/>
              </w:rPr>
              <w:t xml:space="preserve">Grade = INC </w:t>
            </w:r>
          </w:p>
        </w:tc>
        <w:tc>
          <w:tcPr>
            <w:tcW w:w="2021" w:type="dxa"/>
          </w:tcPr>
          <w:p w14:paraId="3CC1D561" w14:textId="77777777" w:rsidR="00D97D23" w:rsidRPr="00B70107" w:rsidRDefault="00D97D23" w:rsidP="001A01DC">
            <w:pPr>
              <w:rPr>
                <w:bCs/>
                <w:sz w:val="20"/>
                <w:szCs w:val="20"/>
              </w:rPr>
            </w:pPr>
            <w:r w:rsidRPr="00B70107">
              <w:rPr>
                <w:bCs/>
                <w:sz w:val="20"/>
                <w:szCs w:val="20"/>
              </w:rPr>
              <w:t xml:space="preserve">. </w:t>
            </w:r>
          </w:p>
        </w:tc>
      </w:tr>
    </w:tbl>
    <w:p w14:paraId="3E3FE3C6" w14:textId="7F4E71C2" w:rsidR="00EB4260" w:rsidRPr="00B70107" w:rsidRDefault="00EB4260" w:rsidP="00D97D23">
      <w:pPr>
        <w:spacing w:before="240"/>
        <w:rPr>
          <w:rFonts w:eastAsia="Times New Roman" w:cstheme="minorHAnsi"/>
          <w:bCs/>
          <w:kern w:val="36"/>
          <w:sz w:val="32"/>
          <w:szCs w:val="48"/>
          <w:lang w:eastAsia="en-GB"/>
        </w:rPr>
      </w:pPr>
    </w:p>
    <w:p w14:paraId="7F6F0FCA" w14:textId="77777777" w:rsidR="00EB4260" w:rsidRPr="00B70107" w:rsidRDefault="00EB4260">
      <w:pPr>
        <w:rPr>
          <w:rFonts w:eastAsia="Times New Roman" w:cstheme="minorHAnsi"/>
          <w:bCs/>
          <w:kern w:val="36"/>
          <w:sz w:val="32"/>
          <w:szCs w:val="48"/>
          <w:lang w:eastAsia="en-GB"/>
        </w:rPr>
      </w:pPr>
      <w:r w:rsidRPr="00B70107">
        <w:rPr>
          <w:rFonts w:eastAsia="Times New Roman" w:cstheme="minorHAnsi"/>
          <w:bCs/>
          <w:kern w:val="36"/>
          <w:sz w:val="32"/>
          <w:szCs w:val="48"/>
          <w:lang w:eastAsia="en-GB"/>
        </w:rPr>
        <w:br w:type="page"/>
      </w:r>
    </w:p>
    <w:p w14:paraId="777930B4" w14:textId="77777777" w:rsidR="00D97D23" w:rsidRPr="00B70107" w:rsidRDefault="00D97D23" w:rsidP="00D97D23">
      <w:pPr>
        <w:spacing w:before="240"/>
        <w:rPr>
          <w:rFonts w:eastAsia="Times New Roman" w:cstheme="minorHAnsi"/>
          <w:bCs/>
          <w:kern w:val="36"/>
          <w:sz w:val="32"/>
          <w:szCs w:val="48"/>
          <w:lang w:eastAsia="en-GB"/>
        </w:rPr>
      </w:pPr>
    </w:p>
    <w:p w14:paraId="6AEE16DC" w14:textId="2B63E75A" w:rsidR="00EB4260" w:rsidRPr="00B70107" w:rsidRDefault="00EB4260" w:rsidP="00D97D23">
      <w:pPr>
        <w:spacing w:before="240"/>
        <w:rPr>
          <w:rFonts w:eastAsia="Times New Roman" w:cstheme="minorHAnsi"/>
          <w:b/>
          <w:bCs/>
          <w:kern w:val="36"/>
          <w:sz w:val="28"/>
          <w:szCs w:val="28"/>
          <w:lang w:eastAsia="en-GB"/>
        </w:rPr>
      </w:pPr>
      <w:r w:rsidRPr="00B70107">
        <w:rPr>
          <w:rFonts w:eastAsia="Times New Roman" w:cstheme="minorHAnsi"/>
          <w:b/>
          <w:bCs/>
          <w:kern w:val="36"/>
          <w:sz w:val="28"/>
          <w:szCs w:val="28"/>
          <w:lang w:eastAsia="en-GB"/>
        </w:rPr>
        <w:t>T</w:t>
      </w:r>
      <w:r w:rsidR="00B70107">
        <w:rPr>
          <w:rFonts w:eastAsia="Times New Roman" w:cstheme="minorHAnsi"/>
          <w:b/>
          <w:bCs/>
          <w:kern w:val="36"/>
          <w:sz w:val="28"/>
          <w:szCs w:val="28"/>
          <w:lang w:eastAsia="en-GB"/>
        </w:rPr>
        <w:t xml:space="preserve">able 4 Data Considered for the </w:t>
      </w:r>
      <w:r w:rsidRPr="00B70107">
        <w:rPr>
          <w:rFonts w:eastAsia="Times New Roman" w:cstheme="minorHAnsi"/>
          <w:b/>
          <w:bCs/>
          <w:kern w:val="36"/>
          <w:sz w:val="28"/>
          <w:szCs w:val="28"/>
          <w:lang w:eastAsia="en-GB"/>
        </w:rPr>
        <w:t>Diet</w:t>
      </w:r>
      <w:r w:rsidR="00B70107">
        <w:rPr>
          <w:rFonts w:eastAsia="Times New Roman" w:cstheme="minorHAnsi"/>
          <w:b/>
          <w:bCs/>
          <w:kern w:val="36"/>
          <w:sz w:val="28"/>
          <w:szCs w:val="28"/>
          <w:lang w:eastAsia="en-GB"/>
        </w:rPr>
        <w:t xml:space="preserve"> Indicator</w:t>
      </w:r>
    </w:p>
    <w:tbl>
      <w:tblPr>
        <w:tblStyle w:val="TableGrid2"/>
        <w:tblW w:w="14174" w:type="dxa"/>
        <w:tblLayout w:type="fixed"/>
        <w:tblLook w:val="04A0" w:firstRow="1" w:lastRow="0" w:firstColumn="1" w:lastColumn="0" w:noHBand="0" w:noVBand="1"/>
      </w:tblPr>
      <w:tblGrid>
        <w:gridCol w:w="3912"/>
        <w:gridCol w:w="2268"/>
        <w:gridCol w:w="2410"/>
        <w:gridCol w:w="2891"/>
        <w:gridCol w:w="2693"/>
      </w:tblGrid>
      <w:tr w:rsidR="00D97D23" w:rsidRPr="00B70107" w14:paraId="620BDB99" w14:textId="77777777" w:rsidTr="001A01DC">
        <w:tc>
          <w:tcPr>
            <w:tcW w:w="3912" w:type="dxa"/>
          </w:tcPr>
          <w:p w14:paraId="0C2CC179" w14:textId="77777777" w:rsidR="00D97D23" w:rsidRPr="00B70107" w:rsidRDefault="00D97D23" w:rsidP="00D97D23">
            <w:pPr>
              <w:jc w:val="center"/>
              <w:rPr>
                <w:b/>
              </w:rPr>
            </w:pPr>
            <w:r w:rsidRPr="00B70107">
              <w:rPr>
                <w:b/>
              </w:rPr>
              <w:t xml:space="preserve">Survey name, year data collected, name of the report and year report published and link(s) to the document/survey </w:t>
            </w:r>
          </w:p>
        </w:tc>
        <w:tc>
          <w:tcPr>
            <w:tcW w:w="2268" w:type="dxa"/>
          </w:tcPr>
          <w:p w14:paraId="2C06E71F" w14:textId="77777777" w:rsidR="00D97D23" w:rsidRPr="00B70107" w:rsidRDefault="00D97D23" w:rsidP="00D97D23">
            <w:pPr>
              <w:jc w:val="center"/>
              <w:rPr>
                <w:b/>
              </w:rPr>
            </w:pPr>
            <w:r w:rsidRPr="00B70107">
              <w:rPr>
                <w:b/>
              </w:rPr>
              <w:t xml:space="preserve">Details of participants </w:t>
            </w:r>
          </w:p>
        </w:tc>
        <w:tc>
          <w:tcPr>
            <w:tcW w:w="2410" w:type="dxa"/>
          </w:tcPr>
          <w:p w14:paraId="1FDD5187" w14:textId="77777777" w:rsidR="00D97D23" w:rsidRPr="00B70107" w:rsidRDefault="00D97D23" w:rsidP="00D97D23">
            <w:pPr>
              <w:jc w:val="center"/>
              <w:rPr>
                <w:b/>
              </w:rPr>
            </w:pPr>
            <w:r w:rsidRPr="00B70107">
              <w:rPr>
                <w:b/>
              </w:rPr>
              <w:t xml:space="preserve">Method of measurement (including the questions asked in the survey to measure the indicator) </w:t>
            </w:r>
          </w:p>
        </w:tc>
        <w:tc>
          <w:tcPr>
            <w:tcW w:w="2891" w:type="dxa"/>
          </w:tcPr>
          <w:p w14:paraId="088D638A" w14:textId="77777777" w:rsidR="00D97D23" w:rsidRPr="00B70107" w:rsidRDefault="00D97D23" w:rsidP="00D97D23">
            <w:pPr>
              <w:jc w:val="center"/>
              <w:rPr>
                <w:b/>
              </w:rPr>
            </w:pPr>
            <w:r w:rsidRPr="00B70107">
              <w:rPr>
                <w:b/>
              </w:rPr>
              <w:t xml:space="preserve">Findings </w:t>
            </w:r>
          </w:p>
        </w:tc>
        <w:tc>
          <w:tcPr>
            <w:tcW w:w="2693" w:type="dxa"/>
          </w:tcPr>
          <w:p w14:paraId="33306127" w14:textId="77777777" w:rsidR="00D97D23" w:rsidRPr="00B70107" w:rsidRDefault="00D97D23" w:rsidP="00D97D23">
            <w:pPr>
              <w:jc w:val="center"/>
              <w:rPr>
                <w:b/>
              </w:rPr>
            </w:pPr>
            <w:r w:rsidRPr="00B70107">
              <w:rPr>
                <w:b/>
              </w:rPr>
              <w:t xml:space="preserve">Additional comments </w:t>
            </w:r>
          </w:p>
        </w:tc>
      </w:tr>
      <w:tr w:rsidR="00D97D23" w:rsidRPr="00B70107" w14:paraId="23A1368E" w14:textId="77777777" w:rsidTr="001A01DC">
        <w:tc>
          <w:tcPr>
            <w:tcW w:w="3912" w:type="dxa"/>
          </w:tcPr>
          <w:p w14:paraId="7BF472E4"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b/>
                <w:sz w:val="20"/>
                <w:szCs w:val="20"/>
              </w:rPr>
              <w:t>Survey:</w:t>
            </w:r>
            <w:r w:rsidRPr="00B70107">
              <w:rPr>
                <w:rFonts w:asciiTheme="majorHAnsi" w:hAnsiTheme="majorHAnsi" w:cstheme="majorHAnsi"/>
                <w:sz w:val="20"/>
                <w:szCs w:val="20"/>
              </w:rPr>
              <w:t xml:space="preserve"> Scottish Health Survey (SHeS) 2019 (Published Sept 2020)</w:t>
            </w:r>
          </w:p>
          <w:p w14:paraId="6BE88DC3" w14:textId="77777777" w:rsidR="00D97D23" w:rsidRPr="00B70107" w:rsidRDefault="00D97D23" w:rsidP="00D97D23">
            <w:pPr>
              <w:rPr>
                <w:rFonts w:asciiTheme="majorHAnsi" w:hAnsiTheme="majorHAnsi" w:cstheme="majorHAnsi"/>
                <w:b/>
                <w:sz w:val="20"/>
                <w:szCs w:val="20"/>
              </w:rPr>
            </w:pPr>
            <w:r w:rsidRPr="00B70107">
              <w:rPr>
                <w:rFonts w:asciiTheme="majorHAnsi" w:hAnsiTheme="majorHAnsi" w:cstheme="majorHAnsi"/>
                <w:b/>
                <w:sz w:val="20"/>
                <w:szCs w:val="20"/>
              </w:rPr>
              <w:t xml:space="preserve">Publication: </w:t>
            </w:r>
            <w:r w:rsidRPr="00B70107">
              <w:rPr>
                <w:rFonts w:asciiTheme="majorHAnsi" w:hAnsiTheme="majorHAnsi" w:cstheme="majorHAnsi"/>
                <w:sz w:val="20"/>
                <w:szCs w:val="20"/>
              </w:rPr>
              <w:t>The Scottish Health Survey 2019: Volume 1: Main Report (published Sep 2020)</w:t>
            </w:r>
            <w:r w:rsidRPr="00B70107">
              <w:rPr>
                <w:rFonts w:asciiTheme="majorHAnsi" w:hAnsiTheme="majorHAnsi" w:cstheme="majorHAnsi"/>
                <w:b/>
                <w:sz w:val="20"/>
                <w:szCs w:val="20"/>
              </w:rPr>
              <w:t xml:space="preserve"> </w:t>
            </w:r>
          </w:p>
          <w:p w14:paraId="53935246" w14:textId="77777777" w:rsidR="00D97D23" w:rsidRPr="00B70107" w:rsidRDefault="00F1041F" w:rsidP="00D97D23">
            <w:pPr>
              <w:rPr>
                <w:rFonts w:asciiTheme="majorHAnsi" w:hAnsiTheme="majorHAnsi" w:cstheme="majorHAnsi"/>
                <w:b/>
                <w:sz w:val="20"/>
                <w:szCs w:val="20"/>
              </w:rPr>
            </w:pPr>
            <w:hyperlink r:id="rId30" w:history="1">
              <w:r w:rsidR="00D97D23" w:rsidRPr="00B70107">
                <w:rPr>
                  <w:rFonts w:asciiTheme="majorHAnsi" w:hAnsiTheme="majorHAnsi" w:cstheme="majorHAnsi"/>
                  <w:b/>
                  <w:sz w:val="20"/>
                  <w:szCs w:val="20"/>
                  <w:u w:val="single"/>
                </w:rPr>
                <w:t>https://www.gov.scot/binaries/content/documents/govscot/publications/statistics/2020/09/scottish-health-survey-2019-volume-1-main-report/documents/scottish-health-survey-2019-edition-volume-1-main-report/scottish-health-survey-2019-edition-volume-1-main-report/govscot%3Adocument/scottish-health-survey-2019-edition-volume-1-main-report.pdf?forceDownload=true</w:t>
              </w:r>
            </w:hyperlink>
          </w:p>
          <w:p w14:paraId="55C81893" w14:textId="77777777" w:rsidR="00D97D23" w:rsidRPr="00B70107" w:rsidRDefault="00D97D23" w:rsidP="00D97D23">
            <w:pPr>
              <w:rPr>
                <w:rFonts w:asciiTheme="majorHAnsi" w:hAnsiTheme="majorHAnsi" w:cstheme="majorHAnsi"/>
                <w:b/>
                <w:sz w:val="20"/>
                <w:szCs w:val="20"/>
              </w:rPr>
            </w:pPr>
          </w:p>
          <w:p w14:paraId="7863B4BD" w14:textId="77777777" w:rsidR="00D97D23" w:rsidRPr="00B70107" w:rsidRDefault="00D97D23" w:rsidP="00D97D23">
            <w:pPr>
              <w:rPr>
                <w:rFonts w:asciiTheme="majorHAnsi" w:hAnsiTheme="majorHAnsi" w:cstheme="majorHAnsi"/>
                <w:sz w:val="20"/>
                <w:szCs w:val="20"/>
                <w:u w:val="single"/>
              </w:rPr>
            </w:pPr>
            <w:r w:rsidRPr="00B70107">
              <w:rPr>
                <w:rFonts w:asciiTheme="majorHAnsi" w:hAnsiTheme="majorHAnsi" w:cstheme="majorHAnsi"/>
                <w:sz w:val="20"/>
                <w:szCs w:val="20"/>
                <w:u w:val="single"/>
              </w:rPr>
              <w:t xml:space="preserve">Further data are available in supplementary web tables </w:t>
            </w:r>
          </w:p>
          <w:p w14:paraId="2419A1BC" w14:textId="77777777" w:rsidR="00D97D23" w:rsidRPr="00B70107" w:rsidRDefault="00F1041F" w:rsidP="00D97D23">
            <w:pPr>
              <w:rPr>
                <w:rFonts w:asciiTheme="majorHAnsi" w:hAnsiTheme="majorHAnsi" w:cstheme="majorHAnsi"/>
                <w:sz w:val="20"/>
                <w:szCs w:val="20"/>
                <w:u w:val="single"/>
              </w:rPr>
            </w:pPr>
            <w:hyperlink r:id="rId31" w:history="1">
              <w:r w:rsidR="00D97D23" w:rsidRPr="00B70107">
                <w:rPr>
                  <w:rFonts w:asciiTheme="majorHAnsi" w:hAnsiTheme="majorHAnsi" w:cstheme="majorHAnsi"/>
                  <w:sz w:val="20"/>
                  <w:szCs w:val="20"/>
                  <w:u w:val="single"/>
                </w:rPr>
                <w:t>https://www.gov.scot/publications/scottish-health-survey-2019-supplementary-tables/</w:t>
              </w:r>
            </w:hyperlink>
          </w:p>
          <w:p w14:paraId="065E7281" w14:textId="77777777" w:rsidR="00D97D23" w:rsidRPr="00B70107" w:rsidRDefault="00D97D23" w:rsidP="00D97D23">
            <w:pPr>
              <w:rPr>
                <w:rFonts w:asciiTheme="majorHAnsi" w:hAnsiTheme="majorHAnsi" w:cstheme="majorHAnsi"/>
                <w:sz w:val="20"/>
                <w:szCs w:val="20"/>
              </w:rPr>
            </w:pPr>
          </w:p>
          <w:p w14:paraId="705B8418"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 xml:space="preserve">Technical report provides info on data collected and the questionnaires used in the survey </w:t>
            </w:r>
          </w:p>
          <w:p w14:paraId="01E786A2" w14:textId="77777777" w:rsidR="00D97D23" w:rsidRPr="00B70107" w:rsidRDefault="00F1041F" w:rsidP="00D97D23">
            <w:pPr>
              <w:autoSpaceDE w:val="0"/>
              <w:autoSpaceDN w:val="0"/>
              <w:adjustRightInd w:val="0"/>
              <w:rPr>
                <w:rFonts w:cstheme="minorHAnsi"/>
                <w:sz w:val="20"/>
                <w:szCs w:val="20"/>
              </w:rPr>
            </w:pPr>
            <w:hyperlink r:id="rId32" w:history="1">
              <w:r w:rsidR="00D97D23" w:rsidRPr="00B70107">
                <w:rPr>
                  <w:rFonts w:asciiTheme="majorHAnsi" w:hAnsiTheme="majorHAnsi" w:cstheme="majorHAnsi"/>
                  <w:sz w:val="20"/>
                  <w:szCs w:val="20"/>
                  <w:u w:val="single"/>
                </w:rPr>
                <w:t>https://www.gov.scot/publications/scottish-health-survey-2019-volume-2-technical-report/</w:t>
              </w:r>
            </w:hyperlink>
          </w:p>
          <w:p w14:paraId="2A249659" w14:textId="77777777" w:rsidR="00D97D23" w:rsidRPr="00B70107" w:rsidRDefault="00D97D23" w:rsidP="00D97D23">
            <w:pPr>
              <w:rPr>
                <w:rFonts w:cstheme="minorHAnsi"/>
                <w:b/>
                <w:sz w:val="20"/>
                <w:szCs w:val="20"/>
              </w:rPr>
            </w:pPr>
          </w:p>
        </w:tc>
        <w:tc>
          <w:tcPr>
            <w:tcW w:w="2268" w:type="dxa"/>
          </w:tcPr>
          <w:p w14:paraId="58A88F3A"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 xml:space="preserve">Nationally representative sample of 1,978 children (0-15yrs). </w:t>
            </w:r>
          </w:p>
          <w:p w14:paraId="558B8C12"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 xml:space="preserve"> </w:t>
            </w:r>
          </w:p>
          <w:p w14:paraId="65896CDF" w14:textId="77777777" w:rsidR="00D97D23" w:rsidRPr="00B70107" w:rsidRDefault="00D97D23" w:rsidP="00D97D23">
            <w:pPr>
              <w:rPr>
                <w:rFonts w:cstheme="minorHAnsi"/>
                <w:b/>
                <w:bCs/>
                <w:sz w:val="20"/>
                <w:szCs w:val="20"/>
              </w:rPr>
            </w:pPr>
            <w:r w:rsidRPr="00B70107">
              <w:rPr>
                <w:rFonts w:asciiTheme="majorHAnsi" w:hAnsiTheme="majorHAnsi" w:cstheme="majorHAnsi"/>
                <w:sz w:val="20"/>
                <w:szCs w:val="20"/>
              </w:rPr>
              <w:t>Ages 2-15 were used in the findings</w:t>
            </w:r>
          </w:p>
        </w:tc>
        <w:tc>
          <w:tcPr>
            <w:tcW w:w="2410" w:type="dxa"/>
          </w:tcPr>
          <w:p w14:paraId="64229B26" w14:textId="77777777" w:rsidR="00D97D23" w:rsidRPr="00B70107" w:rsidRDefault="00D97D23" w:rsidP="00D97D23">
            <w:pPr>
              <w:rPr>
                <w:sz w:val="20"/>
                <w:szCs w:val="20"/>
              </w:rPr>
            </w:pPr>
            <w:r w:rsidRPr="00B70107">
              <w:rPr>
                <w:sz w:val="20"/>
                <w:szCs w:val="20"/>
              </w:rPr>
              <w:t xml:space="preserve">interviewer-administered questionnaire for a) fruit and vegetable consumption </w:t>
            </w:r>
            <w:r w:rsidRPr="00B70107">
              <w:rPr>
                <w:b/>
                <w:sz w:val="20"/>
                <w:szCs w:val="20"/>
              </w:rPr>
              <w:t xml:space="preserve">in portions per day in the previous 24h, </w:t>
            </w:r>
            <w:r w:rsidRPr="00B70107">
              <w:rPr>
                <w:sz w:val="20"/>
                <w:szCs w:val="20"/>
              </w:rPr>
              <w:t>with household measures used to give examples of portions (80g), interviewers record full and half portions but nothing smaller and b) frequency of consumption of 16 selected other foods e.g. oily fish, processed meat, non-diet soft drinks and high fibre breakfast cereals using nine frequency options (‘6 or more times a day’ to ‘less than 1 time per month or never’).</w:t>
            </w:r>
          </w:p>
          <w:p w14:paraId="1EA6EF7A" w14:textId="77777777" w:rsidR="00D97D23" w:rsidRPr="00B70107" w:rsidRDefault="00D97D23" w:rsidP="00D97D23">
            <w:pPr>
              <w:rPr>
                <w:rFonts w:cstheme="minorHAnsi"/>
                <w:b/>
                <w:sz w:val="20"/>
                <w:szCs w:val="20"/>
              </w:rPr>
            </w:pPr>
            <w:r w:rsidRPr="00B70107">
              <w:rPr>
                <w:sz w:val="20"/>
                <w:szCs w:val="20"/>
              </w:rPr>
              <w:t>Also reported by SIMD 2020 quintiles and equivalised income quintiles in supplementary tables</w:t>
            </w:r>
            <w:r w:rsidRPr="00B70107">
              <w:t xml:space="preserve"> </w:t>
            </w:r>
          </w:p>
        </w:tc>
        <w:tc>
          <w:tcPr>
            <w:tcW w:w="2891" w:type="dxa"/>
          </w:tcPr>
          <w:p w14:paraId="053DD9AA" w14:textId="46CFA731" w:rsidR="00D97D23" w:rsidRPr="00B70107" w:rsidRDefault="00D97D23" w:rsidP="00D97D23">
            <w:pPr>
              <w:autoSpaceDE w:val="0"/>
              <w:autoSpaceDN w:val="0"/>
              <w:adjustRightInd w:val="0"/>
              <w:spacing w:line="257" w:lineRule="auto"/>
            </w:pPr>
            <w:r w:rsidRPr="00B70107">
              <w:rPr>
                <w:rFonts w:ascii="Calibri" w:eastAsia="Calibri" w:hAnsi="Calibri" w:cs="Calibri"/>
              </w:rPr>
              <w:t>I</w:t>
            </w:r>
            <w:r w:rsidRPr="00B70107">
              <w:rPr>
                <w:rFonts w:ascii="Calibri" w:eastAsia="Calibri" w:hAnsi="Calibri" w:cs="Calibri"/>
                <w:sz w:val="20"/>
                <w:szCs w:val="20"/>
              </w:rPr>
              <w:t xml:space="preserve">n 2019, mean daily fruit and veg intake in 2-15yr olds was 2.8 portions (2.6 for boys, 3.0 for girls), little change over time). 14% of 2-15 year olds met the 5-a-day guideline (12% boys, 16% girls) and 9% ate no fruit or veg (9% boys, 9% girls). </w:t>
            </w:r>
          </w:p>
          <w:p w14:paraId="30D40708"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 xml:space="preserve"> </w:t>
            </w:r>
          </w:p>
          <w:p w14:paraId="511E8131" w14:textId="77777777" w:rsidR="00D97D23" w:rsidRPr="00B70107" w:rsidRDefault="00D97D23" w:rsidP="00D97D23">
            <w:pPr>
              <w:autoSpaceDE w:val="0"/>
              <w:autoSpaceDN w:val="0"/>
              <w:adjustRightInd w:val="0"/>
              <w:spacing w:line="257" w:lineRule="auto"/>
              <w:rPr>
                <w:rFonts w:ascii="Calibri" w:eastAsia="Calibri" w:hAnsi="Calibri" w:cs="Calibri"/>
                <w:b/>
                <w:bCs/>
                <w:sz w:val="20"/>
                <w:szCs w:val="20"/>
              </w:rPr>
            </w:pPr>
            <w:r w:rsidRPr="00B70107">
              <w:rPr>
                <w:rFonts w:ascii="Calibri" w:eastAsia="Calibri" w:hAnsi="Calibri" w:cs="Calibri"/>
                <w:b/>
                <w:bCs/>
                <w:sz w:val="20"/>
                <w:szCs w:val="20"/>
              </w:rPr>
              <w:t xml:space="preserve">% meeting 5-a-day by age </w:t>
            </w:r>
          </w:p>
          <w:p w14:paraId="1A4F12FD"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2-4yr: 20% (M 15%, F 25%)</w:t>
            </w:r>
          </w:p>
          <w:p w14:paraId="669833BF"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5-7yr: 13% (M 11%, F 15%)</w:t>
            </w:r>
          </w:p>
          <w:p w14:paraId="78061D4B"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 xml:space="preserve">8-10yr: 11% (M 11%, F 11%) </w:t>
            </w:r>
          </w:p>
          <w:p w14:paraId="1D9ED091"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 xml:space="preserve">11-12y: 14% (M 15%, F 14%) </w:t>
            </w:r>
          </w:p>
          <w:p w14:paraId="70B40A23"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13-15yr: 13% (M 11%, F 15%)</w:t>
            </w:r>
          </w:p>
          <w:p w14:paraId="45F5DB26"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rPr>
              <w:t xml:space="preserve"> </w:t>
            </w:r>
          </w:p>
          <w:p w14:paraId="03E51328" w14:textId="77777777" w:rsidR="00D97D23" w:rsidRPr="00B70107" w:rsidRDefault="00D97D23" w:rsidP="00D97D23">
            <w:pPr>
              <w:autoSpaceDE w:val="0"/>
              <w:autoSpaceDN w:val="0"/>
              <w:adjustRightInd w:val="0"/>
              <w:spacing w:line="257" w:lineRule="auto"/>
              <w:rPr>
                <w:rFonts w:ascii="Calibri" w:eastAsia="Calibri" w:hAnsi="Calibri" w:cs="Calibri"/>
                <w:b/>
                <w:bCs/>
                <w:sz w:val="20"/>
                <w:szCs w:val="20"/>
              </w:rPr>
            </w:pPr>
            <w:r w:rsidRPr="00B70107">
              <w:rPr>
                <w:rFonts w:ascii="Calibri" w:eastAsia="Calibri" w:hAnsi="Calibri" w:cs="Calibri"/>
                <w:b/>
                <w:bCs/>
                <w:sz w:val="20"/>
                <w:szCs w:val="20"/>
              </w:rPr>
              <w:t>% eating no fruit &amp; veg by age</w:t>
            </w:r>
          </w:p>
          <w:p w14:paraId="061C8A8D"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2-4yr: 5% (M 3%, F 7%)</w:t>
            </w:r>
          </w:p>
          <w:p w14:paraId="0FFBEC5D"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5-7yr: 9% (M 12%, F 6%)</w:t>
            </w:r>
          </w:p>
          <w:p w14:paraId="4EA7548C"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 xml:space="preserve">8-10yr: 9% (M 10%, F 9%) </w:t>
            </w:r>
          </w:p>
          <w:p w14:paraId="04635182"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 xml:space="preserve">11-12y: 10% (M 9%, F 12%) </w:t>
            </w:r>
          </w:p>
          <w:p w14:paraId="713AA91D" w14:textId="77777777" w:rsidR="00D97D23" w:rsidRPr="00B70107" w:rsidRDefault="00D97D23" w:rsidP="00D97D23">
            <w:pPr>
              <w:autoSpaceDE w:val="0"/>
              <w:autoSpaceDN w:val="0"/>
              <w:adjustRightInd w:val="0"/>
              <w:spacing w:line="257" w:lineRule="auto"/>
            </w:pPr>
            <w:r w:rsidRPr="00B70107">
              <w:rPr>
                <w:rFonts w:ascii="Calibri" w:eastAsia="Calibri" w:hAnsi="Calibri" w:cs="Calibri"/>
                <w:sz w:val="20"/>
                <w:szCs w:val="20"/>
              </w:rPr>
              <w:t>13-15yr: 13% (M 11%, F 15%)</w:t>
            </w:r>
          </w:p>
          <w:p w14:paraId="7276A2E9" w14:textId="77777777" w:rsidR="00D97D23" w:rsidRPr="00B70107" w:rsidRDefault="00D97D23" w:rsidP="00D97D23">
            <w:pPr>
              <w:autoSpaceDE w:val="0"/>
              <w:autoSpaceDN w:val="0"/>
              <w:adjustRightInd w:val="0"/>
              <w:rPr>
                <w:rFonts w:cs="ArialMT"/>
                <w:sz w:val="20"/>
                <w:szCs w:val="20"/>
              </w:rPr>
            </w:pPr>
          </w:p>
          <w:p w14:paraId="4C54BBB5" w14:textId="77777777" w:rsidR="00D97D23" w:rsidRPr="00B70107" w:rsidRDefault="00D97D23" w:rsidP="00D97D23">
            <w:pPr>
              <w:autoSpaceDE w:val="0"/>
              <w:autoSpaceDN w:val="0"/>
              <w:adjustRightInd w:val="0"/>
              <w:rPr>
                <w:rFonts w:cs="ArialMT"/>
                <w:b/>
                <w:sz w:val="20"/>
                <w:szCs w:val="20"/>
              </w:rPr>
            </w:pPr>
            <w:r w:rsidRPr="00B70107">
              <w:rPr>
                <w:rFonts w:cs="ArialMT"/>
                <w:b/>
                <w:sz w:val="20"/>
                <w:szCs w:val="20"/>
              </w:rPr>
              <w:t xml:space="preserve">Mean fruit &amp; veg portions/day by age </w:t>
            </w:r>
          </w:p>
          <w:p w14:paraId="69B1DA5B" w14:textId="77777777" w:rsidR="00D97D23" w:rsidRPr="00B70107" w:rsidRDefault="00D97D23" w:rsidP="00D97D23">
            <w:pPr>
              <w:autoSpaceDE w:val="0"/>
              <w:autoSpaceDN w:val="0"/>
              <w:adjustRightInd w:val="0"/>
              <w:rPr>
                <w:rFonts w:cs="ArialMT"/>
                <w:sz w:val="20"/>
                <w:szCs w:val="20"/>
              </w:rPr>
            </w:pPr>
            <w:r w:rsidRPr="00B70107">
              <w:rPr>
                <w:rFonts w:cs="ArialMT"/>
                <w:sz w:val="20"/>
                <w:szCs w:val="20"/>
              </w:rPr>
              <w:t>2-4yr: 3.2 (M 3.1, F 3.4)</w:t>
            </w:r>
          </w:p>
          <w:p w14:paraId="6712B976" w14:textId="77777777" w:rsidR="00D97D23" w:rsidRPr="00B70107" w:rsidRDefault="00D97D23" w:rsidP="00D97D23">
            <w:pPr>
              <w:autoSpaceDE w:val="0"/>
              <w:autoSpaceDN w:val="0"/>
              <w:adjustRightInd w:val="0"/>
              <w:rPr>
                <w:rFonts w:cs="ArialMT"/>
                <w:sz w:val="20"/>
                <w:szCs w:val="20"/>
              </w:rPr>
            </w:pPr>
            <w:r w:rsidRPr="00B70107">
              <w:rPr>
                <w:rFonts w:cs="ArialMT"/>
                <w:sz w:val="20"/>
                <w:szCs w:val="20"/>
              </w:rPr>
              <w:t>5-7yr:  2.8 (M 2.5, F 3.2)</w:t>
            </w:r>
          </w:p>
          <w:p w14:paraId="5461CCFE" w14:textId="77777777" w:rsidR="00D97D23" w:rsidRPr="00B70107" w:rsidRDefault="00D97D23" w:rsidP="00D97D23">
            <w:pPr>
              <w:autoSpaceDE w:val="0"/>
              <w:autoSpaceDN w:val="0"/>
              <w:adjustRightInd w:val="0"/>
              <w:rPr>
                <w:rFonts w:cs="ArialMT"/>
                <w:sz w:val="20"/>
                <w:szCs w:val="20"/>
              </w:rPr>
            </w:pPr>
            <w:r w:rsidRPr="00B70107">
              <w:rPr>
                <w:rFonts w:cs="ArialMT"/>
                <w:sz w:val="20"/>
                <w:szCs w:val="20"/>
              </w:rPr>
              <w:t xml:space="preserve"> 8-10yr: 2.7 (M 2.5, F 2.8)</w:t>
            </w:r>
          </w:p>
          <w:p w14:paraId="4702000B" w14:textId="77777777" w:rsidR="00D97D23" w:rsidRPr="00B70107" w:rsidRDefault="00D97D23" w:rsidP="00D97D23">
            <w:pPr>
              <w:autoSpaceDE w:val="0"/>
              <w:autoSpaceDN w:val="0"/>
              <w:adjustRightInd w:val="0"/>
              <w:rPr>
                <w:rFonts w:cs="ArialMT"/>
                <w:sz w:val="20"/>
                <w:szCs w:val="20"/>
              </w:rPr>
            </w:pPr>
            <w:r w:rsidRPr="00B70107">
              <w:rPr>
                <w:rFonts w:cs="ArialMT"/>
                <w:sz w:val="20"/>
                <w:szCs w:val="20"/>
              </w:rPr>
              <w:t>11-12y: 2.7 (M 2.8, F 2.7)</w:t>
            </w:r>
          </w:p>
          <w:p w14:paraId="32C882AF" w14:textId="77777777" w:rsidR="00D97D23" w:rsidRPr="00B70107" w:rsidRDefault="00D97D23" w:rsidP="00D97D23">
            <w:pPr>
              <w:autoSpaceDE w:val="0"/>
              <w:autoSpaceDN w:val="0"/>
              <w:adjustRightInd w:val="0"/>
              <w:rPr>
                <w:rFonts w:cs="ArialMT"/>
                <w:sz w:val="20"/>
                <w:szCs w:val="20"/>
              </w:rPr>
            </w:pPr>
            <w:r w:rsidRPr="00B70107">
              <w:rPr>
                <w:rFonts w:cs="ArialMT"/>
                <w:sz w:val="20"/>
                <w:szCs w:val="20"/>
              </w:rPr>
              <w:t>13-15yr: 2.6 (M 2.6, F 2.6)</w:t>
            </w:r>
          </w:p>
          <w:p w14:paraId="514A4180" w14:textId="77777777" w:rsidR="00D97D23" w:rsidRPr="00B70107" w:rsidRDefault="00D97D23" w:rsidP="00D97D23">
            <w:pPr>
              <w:autoSpaceDE w:val="0"/>
              <w:autoSpaceDN w:val="0"/>
              <w:adjustRightInd w:val="0"/>
            </w:pPr>
          </w:p>
          <w:p w14:paraId="28BFA1BF" w14:textId="77777777" w:rsidR="00D97D23" w:rsidRPr="00B70107" w:rsidRDefault="00D97D23" w:rsidP="00D97D23">
            <w:pPr>
              <w:autoSpaceDE w:val="0"/>
              <w:autoSpaceDN w:val="0"/>
              <w:adjustRightInd w:val="0"/>
              <w:rPr>
                <w:rFonts w:asciiTheme="majorHAnsi" w:hAnsiTheme="majorHAnsi" w:cstheme="majorBidi"/>
                <w:b/>
                <w:bCs/>
                <w:sz w:val="20"/>
                <w:szCs w:val="20"/>
              </w:rPr>
            </w:pPr>
            <w:r w:rsidRPr="00B70107">
              <w:rPr>
                <w:rFonts w:asciiTheme="majorHAnsi" w:hAnsiTheme="majorHAnsi" w:cstheme="majorBidi"/>
                <w:b/>
                <w:bCs/>
                <w:sz w:val="20"/>
                <w:szCs w:val="20"/>
              </w:rPr>
              <w:t>Mean fruit &amp; veg portions/day by SIMD</w:t>
            </w:r>
          </w:p>
          <w:p w14:paraId="5AACD27C"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least: 3.3 (M 3.2, F 3.3)</w:t>
            </w:r>
          </w:p>
          <w:p w14:paraId="3313BE6F"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4th:  2.9 (M 2.8, F 3.1)</w:t>
            </w:r>
          </w:p>
          <w:p w14:paraId="177D6492"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3rd:  2.5 (M 2.2, F 2.8) </w:t>
            </w:r>
          </w:p>
          <w:p w14:paraId="4087EA03"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2nd:  2.5 (M 2.3, F 2.7) </w:t>
            </w:r>
          </w:p>
          <w:p w14:paraId="39295F0A" w14:textId="77777777" w:rsidR="00D97D23" w:rsidRPr="00B70107" w:rsidRDefault="00D97D23" w:rsidP="00D97D23">
            <w:pPr>
              <w:autoSpaceDE w:val="0"/>
              <w:autoSpaceDN w:val="0"/>
              <w:adjustRightInd w:val="0"/>
              <w:rPr>
                <w:rFonts w:asciiTheme="majorHAnsi" w:hAnsiTheme="majorHAnsi" w:cstheme="majorBidi"/>
                <w:sz w:val="20"/>
                <w:szCs w:val="20"/>
              </w:rPr>
            </w:pPr>
            <w:r w:rsidRPr="00B70107">
              <w:rPr>
                <w:rFonts w:asciiTheme="majorHAnsi" w:hAnsiTheme="majorHAnsi" w:cstheme="majorBidi"/>
                <w:sz w:val="20"/>
                <w:szCs w:val="20"/>
              </w:rPr>
              <w:t>most:  2.8 (M 2.6, F 2.9)</w:t>
            </w:r>
          </w:p>
          <w:p w14:paraId="032FD655" w14:textId="77777777" w:rsidR="00D97D23" w:rsidRPr="00B70107" w:rsidRDefault="00D97D23" w:rsidP="00D97D23">
            <w:pPr>
              <w:autoSpaceDE w:val="0"/>
              <w:autoSpaceDN w:val="0"/>
              <w:adjustRightInd w:val="0"/>
              <w:rPr>
                <w:rFonts w:asciiTheme="majorHAnsi" w:hAnsiTheme="majorHAnsi" w:cstheme="majorBidi"/>
                <w:sz w:val="20"/>
                <w:szCs w:val="20"/>
              </w:rPr>
            </w:pPr>
          </w:p>
          <w:p w14:paraId="5D3E2A3B" w14:textId="77777777" w:rsidR="00D97D23" w:rsidRPr="00B70107" w:rsidRDefault="00D97D23" w:rsidP="00D97D23">
            <w:pPr>
              <w:autoSpaceDE w:val="0"/>
              <w:autoSpaceDN w:val="0"/>
              <w:adjustRightInd w:val="0"/>
              <w:rPr>
                <w:b/>
                <w:sz w:val="20"/>
                <w:szCs w:val="20"/>
              </w:rPr>
            </w:pPr>
            <w:r w:rsidRPr="00B70107">
              <w:rPr>
                <w:b/>
                <w:sz w:val="20"/>
                <w:szCs w:val="20"/>
              </w:rPr>
              <w:t xml:space="preserve">% meeting 5-a-day by SIMD </w:t>
            </w:r>
          </w:p>
          <w:p w14:paraId="34E711D9"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least:  17% (M 18%, F 16%)</w:t>
            </w:r>
          </w:p>
          <w:p w14:paraId="1FA47858"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4th:  15% (M 14%, F 16%)</w:t>
            </w:r>
          </w:p>
          <w:p w14:paraId="03A97887"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3rd:  12% (M 5%, F 19%) </w:t>
            </w:r>
          </w:p>
          <w:p w14:paraId="17817B22"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2nd:  11% (M 10%, F 12%) </w:t>
            </w:r>
          </w:p>
          <w:p w14:paraId="5D5D81A5"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most:  16% (14M %, F 18%)</w:t>
            </w:r>
          </w:p>
          <w:p w14:paraId="67437CEB" w14:textId="77777777" w:rsidR="00D97D23" w:rsidRPr="00B70107" w:rsidRDefault="00D97D23" w:rsidP="00D97D23">
            <w:pPr>
              <w:autoSpaceDE w:val="0"/>
              <w:autoSpaceDN w:val="0"/>
              <w:adjustRightInd w:val="0"/>
              <w:rPr>
                <w:rFonts w:cs="ArialMT"/>
                <w:sz w:val="20"/>
                <w:szCs w:val="20"/>
              </w:rPr>
            </w:pPr>
          </w:p>
          <w:p w14:paraId="231C2561" w14:textId="77777777" w:rsidR="00D97D23" w:rsidRPr="00B70107" w:rsidRDefault="00D97D23" w:rsidP="00D97D23">
            <w:pPr>
              <w:autoSpaceDE w:val="0"/>
              <w:autoSpaceDN w:val="0"/>
              <w:adjustRightInd w:val="0"/>
              <w:rPr>
                <w:b/>
                <w:sz w:val="20"/>
                <w:szCs w:val="20"/>
              </w:rPr>
            </w:pPr>
            <w:r w:rsidRPr="00B70107">
              <w:rPr>
                <w:b/>
                <w:sz w:val="20"/>
                <w:szCs w:val="20"/>
              </w:rPr>
              <w:t>% eating no fruit &amp; veg SIMD</w:t>
            </w:r>
          </w:p>
          <w:p w14:paraId="09D2C432"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least: 4% (M 5%, F 3%)</w:t>
            </w:r>
          </w:p>
          <w:p w14:paraId="75BD705A"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4th:  4% (M 5%, F 3%)</w:t>
            </w:r>
          </w:p>
          <w:p w14:paraId="7F8C23C1"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3rd:  14% (M 11%, F 16%) </w:t>
            </w:r>
          </w:p>
          <w:p w14:paraId="3E449514"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2nd:  10% (M 11%, F 10%) </w:t>
            </w:r>
          </w:p>
          <w:p w14:paraId="681804BE"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most:  14% (M 14%, F 14%)</w:t>
            </w:r>
          </w:p>
          <w:p w14:paraId="7C7ADD1D" w14:textId="77777777" w:rsidR="00D97D23" w:rsidRPr="00B70107" w:rsidRDefault="00D97D23" w:rsidP="00D97D23">
            <w:pPr>
              <w:autoSpaceDE w:val="0"/>
              <w:autoSpaceDN w:val="0"/>
              <w:adjustRightInd w:val="0"/>
            </w:pPr>
          </w:p>
          <w:p w14:paraId="1081978D" w14:textId="77777777" w:rsidR="00D97D23" w:rsidRPr="00B70107" w:rsidRDefault="00D97D23" w:rsidP="00D97D23">
            <w:pPr>
              <w:spacing w:line="257" w:lineRule="auto"/>
            </w:pPr>
            <w:r w:rsidRPr="00B70107">
              <w:rPr>
                <w:rFonts w:ascii="Calibri" w:eastAsia="Calibri" w:hAnsi="Calibri" w:cs="Calibri"/>
                <w:b/>
                <w:bCs/>
                <w:sz w:val="20"/>
                <w:szCs w:val="20"/>
              </w:rPr>
              <w:t>Frequency of eating other foods</w:t>
            </w:r>
          </w:p>
          <w:p w14:paraId="569FB2FF" w14:textId="77777777" w:rsidR="00D97D23" w:rsidRPr="00B70107" w:rsidRDefault="00D97D23" w:rsidP="00D97D23">
            <w:pPr>
              <w:spacing w:line="257" w:lineRule="auto"/>
              <w:rPr>
                <w:rFonts w:ascii="Calibri" w:eastAsia="Calibri" w:hAnsi="Calibri" w:cs="Calibri"/>
                <w:sz w:val="20"/>
                <w:szCs w:val="20"/>
              </w:rPr>
            </w:pPr>
            <w:r w:rsidRPr="00B70107">
              <w:rPr>
                <w:rFonts w:ascii="Calibri" w:eastAsia="Calibri" w:hAnsi="Calibri" w:cs="Calibri"/>
                <w:sz w:val="20"/>
                <w:szCs w:val="20"/>
              </w:rPr>
              <w:t>Processed meat ≥ 2 times/wk: 42%</w:t>
            </w:r>
          </w:p>
          <w:p w14:paraId="47A2B202" w14:textId="77777777" w:rsidR="00D97D23" w:rsidRPr="00B70107" w:rsidRDefault="00D97D23" w:rsidP="00D97D23">
            <w:pPr>
              <w:spacing w:line="257" w:lineRule="auto"/>
            </w:pPr>
            <w:r w:rsidRPr="00B70107">
              <w:rPr>
                <w:rFonts w:ascii="Calibri" w:eastAsia="Calibri" w:hAnsi="Calibri" w:cs="Calibri"/>
                <w:sz w:val="20"/>
                <w:szCs w:val="20"/>
              </w:rPr>
              <w:t>Sweets or chocolates ≥ once/day: 48%</w:t>
            </w:r>
          </w:p>
          <w:p w14:paraId="4793DA9B" w14:textId="77777777" w:rsidR="00D97D23" w:rsidRPr="00B70107" w:rsidRDefault="00D97D23" w:rsidP="00D97D23">
            <w:pPr>
              <w:spacing w:line="257" w:lineRule="auto"/>
            </w:pPr>
            <w:r w:rsidRPr="00B70107">
              <w:rPr>
                <w:rFonts w:ascii="Calibri" w:eastAsia="Calibri" w:hAnsi="Calibri" w:cs="Calibri"/>
                <w:sz w:val="20"/>
                <w:szCs w:val="20"/>
              </w:rPr>
              <w:t>Biscuits ≥ once/day: 28%</w:t>
            </w:r>
          </w:p>
          <w:p w14:paraId="0E364B05" w14:textId="77777777" w:rsidR="00D97D23" w:rsidRPr="00B70107" w:rsidRDefault="00D97D23" w:rsidP="00D97D23">
            <w:pPr>
              <w:spacing w:line="257" w:lineRule="auto"/>
            </w:pPr>
            <w:r w:rsidRPr="00B70107">
              <w:rPr>
                <w:rFonts w:ascii="Calibri" w:eastAsia="Calibri" w:hAnsi="Calibri" w:cs="Calibri"/>
                <w:sz w:val="20"/>
                <w:szCs w:val="20"/>
              </w:rPr>
              <w:t xml:space="preserve">Cakes ≥ 2 times/wk: 28% </w:t>
            </w:r>
          </w:p>
          <w:p w14:paraId="53E8C912" w14:textId="77777777" w:rsidR="00D97D23" w:rsidRPr="00B70107" w:rsidRDefault="00D97D23" w:rsidP="00D97D23">
            <w:pPr>
              <w:spacing w:line="257" w:lineRule="auto"/>
            </w:pPr>
            <w:r w:rsidRPr="00B70107">
              <w:rPr>
                <w:rFonts w:ascii="Calibri" w:eastAsia="Calibri" w:hAnsi="Calibri" w:cs="Calibri"/>
                <w:sz w:val="20"/>
                <w:szCs w:val="20"/>
              </w:rPr>
              <w:t xml:space="preserve">Non-diet soft drinks ≥ once/day: 8% Crisps/savoury snacks ≥ once/day: 38% </w:t>
            </w:r>
          </w:p>
          <w:p w14:paraId="2476919B" w14:textId="77777777" w:rsidR="00D97D23" w:rsidRPr="00B70107" w:rsidRDefault="00D97D23" w:rsidP="00D97D23">
            <w:pPr>
              <w:spacing w:line="257" w:lineRule="auto"/>
            </w:pPr>
            <w:r w:rsidRPr="00B70107">
              <w:rPr>
                <w:rFonts w:ascii="Calibri" w:eastAsia="Calibri" w:hAnsi="Calibri" w:cs="Calibri"/>
                <w:sz w:val="20"/>
                <w:szCs w:val="20"/>
              </w:rPr>
              <w:t>Chips ≥ 2 times/wk: 45%</w:t>
            </w:r>
          </w:p>
          <w:p w14:paraId="73BCA785" w14:textId="77777777" w:rsidR="00D97D23" w:rsidRPr="00B70107" w:rsidRDefault="00D97D23" w:rsidP="00D97D23">
            <w:pPr>
              <w:spacing w:line="257" w:lineRule="auto"/>
            </w:pPr>
            <w:r w:rsidRPr="00B70107">
              <w:rPr>
                <w:rFonts w:ascii="Calibri" w:eastAsia="Calibri" w:hAnsi="Calibri" w:cs="Calibri"/>
                <w:sz w:val="20"/>
                <w:szCs w:val="20"/>
              </w:rPr>
              <w:t>oily fish ≥ once a week: 16%</w:t>
            </w:r>
          </w:p>
          <w:p w14:paraId="27738CB5" w14:textId="77777777" w:rsidR="00D97D23" w:rsidRPr="00B70107" w:rsidRDefault="00D97D23" w:rsidP="00D97D23">
            <w:pPr>
              <w:spacing w:line="257" w:lineRule="auto"/>
            </w:pPr>
            <w:r w:rsidRPr="00B70107">
              <w:rPr>
                <w:rFonts w:ascii="Calibri" w:eastAsia="Calibri" w:hAnsi="Calibri" w:cs="Calibri"/>
                <w:sz w:val="20"/>
                <w:szCs w:val="20"/>
              </w:rPr>
              <w:t>≥2 slices of high fibre bread/day: 27%</w:t>
            </w:r>
          </w:p>
          <w:p w14:paraId="16E9CB1B" w14:textId="77777777" w:rsidR="00D97D23" w:rsidRPr="00B70107" w:rsidRDefault="00D97D23" w:rsidP="00D97D23">
            <w:pPr>
              <w:spacing w:line="257" w:lineRule="auto"/>
            </w:pPr>
            <w:r w:rsidRPr="00B70107">
              <w:rPr>
                <w:rFonts w:ascii="Calibri" w:eastAsia="Calibri" w:hAnsi="Calibri" w:cs="Calibri"/>
                <w:sz w:val="20"/>
                <w:szCs w:val="20"/>
              </w:rPr>
              <w:t xml:space="preserve">high fibre/low sugar cereal ≥ 5 times/wk: 29% </w:t>
            </w:r>
          </w:p>
          <w:p w14:paraId="22218C00" w14:textId="77777777" w:rsidR="00D97D23" w:rsidRPr="00B70107" w:rsidRDefault="00D97D23" w:rsidP="00D97D23">
            <w:pPr>
              <w:autoSpaceDE w:val="0"/>
              <w:autoSpaceDN w:val="0"/>
              <w:adjustRightInd w:val="0"/>
              <w:rPr>
                <w:sz w:val="20"/>
                <w:szCs w:val="20"/>
              </w:rPr>
            </w:pPr>
          </w:p>
          <w:p w14:paraId="7C049085" w14:textId="77777777" w:rsidR="00D97D23" w:rsidRPr="00B70107" w:rsidRDefault="00D97D23" w:rsidP="00D97D23">
            <w:pPr>
              <w:spacing w:line="257" w:lineRule="auto"/>
            </w:pPr>
            <w:r w:rsidRPr="00B70107">
              <w:rPr>
                <w:rFonts w:ascii="Calibri" w:eastAsia="Calibri" w:hAnsi="Calibri" w:cs="Calibri"/>
                <w:sz w:val="20"/>
                <w:szCs w:val="20"/>
              </w:rPr>
              <w:t>The frequency of eating these foods was similar boys vs girls except for processed meats, high fibre bread, high fibre/low sugar cereal (all higher among boys).</w:t>
            </w:r>
          </w:p>
          <w:p w14:paraId="56294B2E" w14:textId="77777777" w:rsidR="00D97D23" w:rsidRPr="00B70107" w:rsidRDefault="00D97D23" w:rsidP="00D97D23">
            <w:pPr>
              <w:autoSpaceDE w:val="0"/>
              <w:autoSpaceDN w:val="0"/>
              <w:adjustRightInd w:val="0"/>
              <w:rPr>
                <w:sz w:val="20"/>
                <w:szCs w:val="20"/>
              </w:rPr>
            </w:pPr>
          </w:p>
          <w:p w14:paraId="09361023" w14:textId="77777777" w:rsidR="00D97D23" w:rsidRPr="00B70107" w:rsidRDefault="00D97D23" w:rsidP="00D97D23">
            <w:pPr>
              <w:spacing w:line="257" w:lineRule="auto"/>
              <w:rPr>
                <w:rFonts w:ascii="Calibri" w:eastAsia="Calibri" w:hAnsi="Calibri" w:cs="Calibri"/>
                <w:sz w:val="19"/>
                <w:szCs w:val="19"/>
              </w:rPr>
            </w:pPr>
            <w:r w:rsidRPr="00B70107">
              <w:rPr>
                <w:rFonts w:ascii="Calibri" w:eastAsia="Calibri" w:hAnsi="Calibri" w:cs="Calibri"/>
                <w:sz w:val="20"/>
                <w:szCs w:val="20"/>
              </w:rPr>
              <w:t xml:space="preserve">The frequency of eating foods high in fat and/or sugar (i.e. processed meats, sweets/chocs, biscuits, crisp and chips) are similar in 2-4yr olds vs older children. Among 2-4yr olds, 44% eat sweets/chocs at least once a day, 26% eat biscuits at least once a day, 39% eat chips at least twice a week. There was evidence of increasing consumption of non-diet soft drinks with increasing age with 3% of 2-4yr olds consuming </w:t>
            </w:r>
            <w:r w:rsidRPr="00B70107">
              <w:rPr>
                <w:rFonts w:ascii="Calibri" w:eastAsia="Calibri" w:hAnsi="Calibri" w:cs="Calibri"/>
                <w:sz w:val="19"/>
                <w:szCs w:val="19"/>
              </w:rPr>
              <w:t>≥ once/day vs 15% of 13-15yr olds.</w:t>
            </w:r>
          </w:p>
          <w:p w14:paraId="7A15BBD2" w14:textId="77777777" w:rsidR="00D97D23" w:rsidRPr="00B70107" w:rsidRDefault="00D97D23" w:rsidP="00D97D23">
            <w:pPr>
              <w:autoSpaceDE w:val="0"/>
              <w:autoSpaceDN w:val="0"/>
              <w:adjustRightInd w:val="0"/>
              <w:rPr>
                <w:rFonts w:cstheme="minorHAnsi"/>
                <w:b/>
                <w:sz w:val="20"/>
                <w:szCs w:val="20"/>
              </w:rPr>
            </w:pPr>
          </w:p>
          <w:p w14:paraId="2ED34E77" w14:textId="274DDEAA" w:rsidR="00D97D23" w:rsidRPr="00B70107" w:rsidRDefault="00D97D23" w:rsidP="00D97D23">
            <w:pPr>
              <w:autoSpaceDE w:val="0"/>
              <w:autoSpaceDN w:val="0"/>
              <w:adjustRightInd w:val="0"/>
              <w:rPr>
                <w:rFonts w:cstheme="minorHAnsi"/>
                <w:b/>
                <w:sz w:val="20"/>
                <w:szCs w:val="20"/>
              </w:rPr>
            </w:pPr>
            <w:r w:rsidRPr="00B70107">
              <w:rPr>
                <w:rFonts w:cstheme="minorHAnsi"/>
                <w:b/>
                <w:sz w:val="20"/>
                <w:szCs w:val="20"/>
              </w:rPr>
              <w:t xml:space="preserve">Frequency of eating foods by SIMD </w:t>
            </w:r>
          </w:p>
          <w:p w14:paraId="7B7609B6"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Eat meat (all types) 2-4 times a week: 41% least vs 44% most.</w:t>
            </w:r>
          </w:p>
          <w:p w14:paraId="7A5F8D31"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Eat meat products (burgers, pies etc.) 2-4 times a week: 29% least vs 38% most.</w:t>
            </w:r>
          </w:p>
          <w:p w14:paraId="3EB8773A"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Biscuits ≥ once/day: 21% least vs 33% most – boys ate more biscuits than girls across all SIMD quintiles</w:t>
            </w:r>
          </w:p>
          <w:p w14:paraId="45C2D199"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Ice cream ≥ once/wk: 49% least vs 55% most</w:t>
            </w:r>
          </w:p>
          <w:p w14:paraId="5DEFB924"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Cakes ≥ 2 times/wk: 30% least vs 25% most</w:t>
            </w:r>
          </w:p>
          <w:p w14:paraId="509E7CC2"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Crisps/savoury snacks ≥ once/day: 36% least vs 46% most</w:t>
            </w:r>
          </w:p>
          <w:p w14:paraId="6B2500C8"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Chips ≥ 2 times/wk: 37% least vs 52% most</w:t>
            </w:r>
          </w:p>
          <w:p w14:paraId="059BDE7D"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Tuna fish ≥ once/wk: 27% least vs 27% most</w:t>
            </w:r>
          </w:p>
          <w:p w14:paraId="47B30F31"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White fish ≥ once a week: 61% least vs 49% most</w:t>
            </w:r>
          </w:p>
          <w:p w14:paraId="3B5AA3F7"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Oily fish ≥ once a week: 25% least vs 11% most</w:t>
            </w:r>
          </w:p>
          <w:p w14:paraId="1F511A6B"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High fibre/low sugar cereal ≥ 5 times/wk: 37% least vs 18% most - across all SIMD quintiles, boys ate high fibre/low sugar cereal more often than girls</w:t>
            </w:r>
          </w:p>
          <w:p w14:paraId="056F2CA1"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59% of children from the most deprived SIMD quintile ate white bread the most as opposed to 36%, suggesting that those from more affluent families consume more fibrous bread.</w:t>
            </w:r>
          </w:p>
        </w:tc>
        <w:tc>
          <w:tcPr>
            <w:tcW w:w="2693" w:type="dxa"/>
          </w:tcPr>
          <w:p w14:paraId="150FC0FB" w14:textId="77777777" w:rsidR="00D97D23" w:rsidRPr="00B70107" w:rsidRDefault="00D97D23" w:rsidP="00D97D23">
            <w:pPr>
              <w:rPr>
                <w:rFonts w:cstheme="minorHAnsi"/>
                <w:sz w:val="20"/>
                <w:szCs w:val="20"/>
              </w:rPr>
            </w:pPr>
            <w:r w:rsidRPr="00B70107">
              <w:rPr>
                <w:rFonts w:cstheme="minorHAnsi"/>
                <w:sz w:val="20"/>
                <w:szCs w:val="20"/>
              </w:rPr>
              <w:t xml:space="preserve">Little evidence of change since last report card other than for sugar sweetened beverages. </w:t>
            </w:r>
          </w:p>
          <w:p w14:paraId="186B2245" w14:textId="77777777" w:rsidR="00D97D23" w:rsidRPr="00B70107" w:rsidRDefault="00D97D23" w:rsidP="00D97D23">
            <w:pPr>
              <w:rPr>
                <w:rFonts w:cstheme="minorHAnsi"/>
                <w:sz w:val="20"/>
                <w:szCs w:val="20"/>
              </w:rPr>
            </w:pPr>
            <w:r w:rsidRPr="00B70107">
              <w:rPr>
                <w:rFonts w:cstheme="minorHAnsi"/>
                <w:sz w:val="20"/>
                <w:szCs w:val="20"/>
              </w:rPr>
              <w:t xml:space="preserve">Younger children ate more fruit and veg than older children and girls more than boys. </w:t>
            </w:r>
          </w:p>
          <w:p w14:paraId="610E76AC" w14:textId="77777777" w:rsidR="00D97D23" w:rsidRPr="00B70107" w:rsidRDefault="00D97D23" w:rsidP="00D97D23">
            <w:pPr>
              <w:autoSpaceDE w:val="0"/>
              <w:autoSpaceDN w:val="0"/>
              <w:adjustRightInd w:val="0"/>
              <w:rPr>
                <w:rFonts w:cstheme="minorHAnsi"/>
                <w:sz w:val="20"/>
                <w:szCs w:val="20"/>
              </w:rPr>
            </w:pPr>
            <w:r w:rsidRPr="00B70107">
              <w:rPr>
                <w:rFonts w:cstheme="minorHAnsi"/>
                <w:sz w:val="20"/>
                <w:szCs w:val="20"/>
              </w:rPr>
              <w:t xml:space="preserve">Those in least deprived SIMD quintile consumed more fruit and veg, and also had the least children consuming no fruit and vegetables in the last 24hrs, although a similar percentage met the 5 a day in least and most deprived quintiles. Those in least deprived SIMD quintile also consumed fish and high fibre breads and cereals more frequently and high fat/high sugar foods and non-diet soft drinks less frequently. </w:t>
            </w:r>
          </w:p>
          <w:p w14:paraId="02EB9AE0" w14:textId="77777777" w:rsidR="00D97D23" w:rsidRPr="00B70107" w:rsidRDefault="00D97D23" w:rsidP="00D97D23">
            <w:pPr>
              <w:autoSpaceDE w:val="0"/>
              <w:autoSpaceDN w:val="0"/>
              <w:adjustRightInd w:val="0"/>
              <w:rPr>
                <w:rFonts w:cstheme="minorHAnsi"/>
                <w:i/>
                <w:sz w:val="20"/>
                <w:szCs w:val="20"/>
              </w:rPr>
            </w:pPr>
            <w:r w:rsidRPr="00B70107">
              <w:rPr>
                <w:rFonts w:cstheme="minorHAnsi"/>
                <w:sz w:val="20"/>
                <w:szCs w:val="20"/>
              </w:rPr>
              <w:t>A similar pattern was seen by quintiles of equivalised income.</w:t>
            </w:r>
          </w:p>
        </w:tc>
      </w:tr>
      <w:tr w:rsidR="00D97D23" w:rsidRPr="00B70107" w14:paraId="097EBFAF" w14:textId="77777777" w:rsidTr="001A01DC">
        <w:tc>
          <w:tcPr>
            <w:tcW w:w="3912" w:type="dxa"/>
          </w:tcPr>
          <w:p w14:paraId="7AB69B62" w14:textId="77777777" w:rsidR="00D97D23" w:rsidRPr="00B70107" w:rsidRDefault="00D97D23" w:rsidP="00D97D23">
            <w:pPr>
              <w:rPr>
                <w:rFonts w:cstheme="minorHAnsi"/>
                <w:sz w:val="20"/>
                <w:szCs w:val="20"/>
              </w:rPr>
            </w:pPr>
            <w:r w:rsidRPr="00B70107">
              <w:rPr>
                <w:b/>
                <w:sz w:val="20"/>
                <w:szCs w:val="20"/>
              </w:rPr>
              <w:t>Survey:</w:t>
            </w:r>
            <w:r w:rsidRPr="00B70107">
              <w:rPr>
                <w:sz w:val="20"/>
                <w:szCs w:val="20"/>
              </w:rPr>
              <w:t xml:space="preserve"> </w:t>
            </w:r>
            <w:r w:rsidRPr="00B70107">
              <w:rPr>
                <w:rFonts w:cstheme="minorHAnsi"/>
                <w:bCs/>
                <w:sz w:val="20"/>
                <w:szCs w:val="20"/>
              </w:rPr>
              <w:t xml:space="preserve">National Diet and Nutrition Survey Rolling programme Results from Years 1-4 (combined) for Scotland (2008/09-2011/12), published 2014 </w:t>
            </w:r>
          </w:p>
          <w:p w14:paraId="4A73FF7A" w14:textId="77777777" w:rsidR="00D97D23" w:rsidRPr="00B70107" w:rsidRDefault="00D97D23" w:rsidP="00D97D23">
            <w:pPr>
              <w:rPr>
                <w:rFonts w:cstheme="minorHAnsi"/>
                <w:sz w:val="20"/>
                <w:szCs w:val="20"/>
              </w:rPr>
            </w:pPr>
            <w:r w:rsidRPr="00B70107">
              <w:rPr>
                <w:rFonts w:cstheme="minorHAnsi"/>
                <w:sz w:val="20"/>
                <w:szCs w:val="20"/>
              </w:rPr>
              <w:t xml:space="preserve"> </w:t>
            </w:r>
            <w:hyperlink r:id="rId33" w:history="1">
              <w:r w:rsidRPr="00B70107">
                <w:rPr>
                  <w:rFonts w:cstheme="minorHAnsi"/>
                  <w:sz w:val="20"/>
                  <w:szCs w:val="20"/>
                  <w:u w:val="single"/>
                </w:rPr>
                <w:t>https://www.foodstandards.gov.scot/publications-and-research/publications/national-diet-and-nutrition-survey-rolling-programme-results-from-years-1-4</w:t>
              </w:r>
            </w:hyperlink>
            <w:r w:rsidRPr="00B70107">
              <w:rPr>
                <w:rFonts w:cstheme="minorHAnsi"/>
                <w:sz w:val="20"/>
                <w:szCs w:val="20"/>
              </w:rPr>
              <w:t xml:space="preserve"> </w:t>
            </w:r>
          </w:p>
          <w:p w14:paraId="5F1CD558" w14:textId="77777777" w:rsidR="00D97D23" w:rsidRPr="00B70107" w:rsidRDefault="00D97D23" w:rsidP="00D97D23">
            <w:pPr>
              <w:rPr>
                <w:rFonts w:cstheme="minorHAnsi"/>
                <w:sz w:val="20"/>
                <w:szCs w:val="20"/>
              </w:rPr>
            </w:pPr>
          </w:p>
          <w:p w14:paraId="70316BA1" w14:textId="77777777" w:rsidR="00D97D23" w:rsidRPr="00B70107" w:rsidRDefault="00D97D23" w:rsidP="00D97D23">
            <w:pPr>
              <w:rPr>
                <w:rFonts w:cstheme="minorHAnsi"/>
                <w:sz w:val="20"/>
                <w:szCs w:val="20"/>
              </w:rPr>
            </w:pPr>
            <w:r w:rsidRPr="00B70107">
              <w:rPr>
                <w:rFonts w:ascii="Calibri" w:hAnsi="Calibri" w:cs="Calibri"/>
                <w:sz w:val="20"/>
                <w:szCs w:val="20"/>
              </w:rPr>
              <w:t>This report combines data from the years 2008-2012 to provide a sufficient number of children in Scotland.</w:t>
            </w:r>
          </w:p>
        </w:tc>
        <w:tc>
          <w:tcPr>
            <w:tcW w:w="2268" w:type="dxa"/>
          </w:tcPr>
          <w:p w14:paraId="32FAF773" w14:textId="77777777" w:rsidR="00D97D23" w:rsidRPr="00B70107" w:rsidRDefault="00D97D23" w:rsidP="00D97D23">
            <w:pPr>
              <w:rPr>
                <w:rFonts w:cstheme="minorHAnsi"/>
                <w:sz w:val="20"/>
                <w:szCs w:val="20"/>
              </w:rPr>
            </w:pPr>
            <w:r w:rsidRPr="00B70107">
              <w:rPr>
                <w:sz w:val="20"/>
                <w:szCs w:val="20"/>
              </w:rPr>
              <w:t xml:space="preserve">National Diet and Nutrition Surveys since 2011/12 are </w:t>
            </w:r>
            <w:r w:rsidRPr="00B70107">
              <w:rPr>
                <w:b/>
                <w:sz w:val="20"/>
                <w:szCs w:val="20"/>
                <w:u w:val="single"/>
              </w:rPr>
              <w:t>not</w:t>
            </w:r>
            <w:r w:rsidRPr="00B70107">
              <w:rPr>
                <w:sz w:val="20"/>
                <w:szCs w:val="20"/>
              </w:rPr>
              <w:t xml:space="preserve"> available separately for Scotland so data from these surveys cannot be used for grading. The 2008/09 to 2011/12 NDNS mentioned in the previous column was reported for Scotland and data from this survey was used in the 2016 and 2018 report cards.  </w:t>
            </w:r>
          </w:p>
        </w:tc>
        <w:tc>
          <w:tcPr>
            <w:tcW w:w="2410" w:type="dxa"/>
          </w:tcPr>
          <w:p w14:paraId="60F3C946" w14:textId="77777777" w:rsidR="00D97D23" w:rsidRPr="00B70107" w:rsidRDefault="00D97D23" w:rsidP="00D97D23">
            <w:pPr>
              <w:rPr>
                <w:rFonts w:cstheme="minorHAnsi"/>
                <w:b/>
                <w:sz w:val="20"/>
                <w:szCs w:val="20"/>
              </w:rPr>
            </w:pPr>
            <w:r w:rsidRPr="00B70107">
              <w:rPr>
                <w:rFonts w:ascii="Calibri" w:hAnsi="Calibri" w:cs="Calibri"/>
                <w:sz w:val="20"/>
                <w:szCs w:val="20"/>
              </w:rPr>
              <w:t>Methods: 4-day non-weighed diet diary</w:t>
            </w:r>
          </w:p>
        </w:tc>
        <w:tc>
          <w:tcPr>
            <w:tcW w:w="2891" w:type="dxa"/>
          </w:tcPr>
          <w:p w14:paraId="037D5BC0" w14:textId="77777777" w:rsidR="00D97D23" w:rsidRPr="00B70107" w:rsidRDefault="00D97D23" w:rsidP="00D97D23">
            <w:pPr>
              <w:autoSpaceDE w:val="0"/>
              <w:autoSpaceDN w:val="0"/>
              <w:adjustRightInd w:val="0"/>
              <w:rPr>
                <w:rFonts w:cstheme="minorHAnsi"/>
                <w:b/>
                <w:sz w:val="20"/>
                <w:szCs w:val="20"/>
              </w:rPr>
            </w:pPr>
            <w:r w:rsidRPr="00B70107">
              <w:rPr>
                <w:rFonts w:ascii="Calibri" w:hAnsi="Calibri" w:cs="Calibri"/>
                <w:sz w:val="20"/>
                <w:szCs w:val="20"/>
              </w:rPr>
              <w:t xml:space="preserve">In 1.5-3 y olds the energy intake was 4.88 MJ/d in boys and girls combined. The mean energy intake in 4-10 y olds was 6.77 MJ/d in boys and 6.20 MJ/d in girls, while for 11-18 y olds mean energy intake was 8.42 MJ/d in boys and 6.41 MJ/d in girls. Total fat as a % food energy was 33.9 % in boys and 33.85 in girls (1.5-18y). Saturated fatty acids provided 13.2% food energy in boys and 12.9% food energy in girl, while non-milk extrinsic sugars (similar to added sugars) provided 15.8% energy in boys and 14.9% energy in girls, with the highest values of 16.3% seen in the 11-18y old boys. </w:t>
            </w:r>
          </w:p>
        </w:tc>
        <w:tc>
          <w:tcPr>
            <w:tcW w:w="2693" w:type="dxa"/>
          </w:tcPr>
          <w:p w14:paraId="7B3575A4" w14:textId="77777777" w:rsidR="00D97D23" w:rsidRPr="00B70107" w:rsidRDefault="00D97D23" w:rsidP="00C7505C">
            <w:pPr>
              <w:rPr>
                <w:sz w:val="20"/>
                <w:szCs w:val="20"/>
              </w:rPr>
            </w:pPr>
            <w:r w:rsidRPr="00B70107">
              <w:rPr>
                <w:sz w:val="20"/>
                <w:szCs w:val="20"/>
              </w:rPr>
              <w:t xml:space="preserve">Previous report card comments: No new NDNS data since the 2016 report card. The grade for this indicator has been carried forward from the 2016 because no data sources since the previous card have measured this indicator according to the benchmark. The NDNS 2014 was the data source used to grade this indicator in the 2016 report card, along with the % meeting the 5-a-day guideline from the SHeS. </w:t>
            </w:r>
          </w:p>
          <w:p w14:paraId="4CEF0AD1" w14:textId="77777777" w:rsidR="00D97D23" w:rsidRPr="00B70107" w:rsidRDefault="00D97D23" w:rsidP="00D97D23">
            <w:pPr>
              <w:rPr>
                <w:sz w:val="20"/>
                <w:szCs w:val="20"/>
              </w:rPr>
            </w:pPr>
          </w:p>
        </w:tc>
      </w:tr>
      <w:tr w:rsidR="00D97D23" w:rsidRPr="00B70107" w14:paraId="40C02B78" w14:textId="77777777" w:rsidTr="001A01DC">
        <w:tc>
          <w:tcPr>
            <w:tcW w:w="3912" w:type="dxa"/>
          </w:tcPr>
          <w:p w14:paraId="5E8C4230" w14:textId="77777777" w:rsidR="00D97D23" w:rsidRPr="00B70107" w:rsidRDefault="00D97D23" w:rsidP="00D97D23">
            <w:pPr>
              <w:rPr>
                <w:rFonts w:asciiTheme="majorHAnsi" w:hAnsiTheme="majorHAnsi" w:cstheme="majorHAnsi"/>
                <w:bCs/>
                <w:sz w:val="20"/>
                <w:szCs w:val="20"/>
              </w:rPr>
            </w:pPr>
            <w:r w:rsidRPr="00B70107">
              <w:rPr>
                <w:rFonts w:asciiTheme="majorHAnsi" w:hAnsiTheme="majorHAnsi" w:cstheme="majorHAnsi"/>
                <w:b/>
                <w:sz w:val="20"/>
                <w:szCs w:val="20"/>
              </w:rPr>
              <w:t>Survey:</w:t>
            </w:r>
            <w:r w:rsidRPr="00B70107">
              <w:rPr>
                <w:rFonts w:asciiTheme="majorHAnsi" w:hAnsiTheme="majorHAnsi" w:cstheme="majorHAnsi"/>
                <w:sz w:val="20"/>
                <w:szCs w:val="20"/>
              </w:rPr>
              <w:t xml:space="preserve"> </w:t>
            </w:r>
            <w:r w:rsidRPr="00B70107">
              <w:rPr>
                <w:rFonts w:asciiTheme="majorHAnsi" w:hAnsiTheme="majorHAnsi" w:cstheme="majorHAnsi"/>
                <w:bCs/>
                <w:sz w:val="20"/>
                <w:szCs w:val="20"/>
              </w:rPr>
              <w:t>National Diet and Nutrition Survey (NDNS)</w:t>
            </w:r>
          </w:p>
          <w:p w14:paraId="45D40C52" w14:textId="77777777" w:rsidR="00D97D23" w:rsidRPr="00B70107" w:rsidRDefault="00D97D23" w:rsidP="00D97D23">
            <w:pPr>
              <w:rPr>
                <w:rFonts w:asciiTheme="majorHAnsi" w:hAnsiTheme="majorHAnsi" w:cstheme="majorHAnsi"/>
                <w:b/>
                <w:sz w:val="20"/>
                <w:szCs w:val="20"/>
              </w:rPr>
            </w:pPr>
          </w:p>
          <w:p w14:paraId="72E97A4E" w14:textId="77777777" w:rsidR="00D97D23" w:rsidRPr="00B70107" w:rsidRDefault="00D97D23" w:rsidP="00D97D23">
            <w:pPr>
              <w:rPr>
                <w:rFonts w:asciiTheme="majorHAnsi" w:hAnsiTheme="majorHAnsi" w:cstheme="majorHAnsi"/>
                <w:bCs/>
                <w:sz w:val="20"/>
                <w:szCs w:val="20"/>
              </w:rPr>
            </w:pPr>
            <w:r w:rsidRPr="00B70107">
              <w:rPr>
                <w:rFonts w:asciiTheme="majorHAnsi" w:hAnsiTheme="majorHAnsi" w:cstheme="majorHAnsi"/>
                <w:b/>
                <w:sz w:val="20"/>
                <w:szCs w:val="20"/>
              </w:rPr>
              <w:t xml:space="preserve">Publication: </w:t>
            </w:r>
            <w:r w:rsidRPr="00B70107">
              <w:rPr>
                <w:rFonts w:asciiTheme="majorHAnsi" w:hAnsiTheme="majorHAnsi" w:cstheme="majorHAnsi"/>
                <w:bCs/>
                <w:sz w:val="20"/>
                <w:szCs w:val="20"/>
              </w:rPr>
              <w:t>NDNS: results from years 9-11: report (Published December 2020)</w:t>
            </w:r>
          </w:p>
          <w:p w14:paraId="0205FE59" w14:textId="77777777" w:rsidR="00D97D23" w:rsidRPr="00B70107" w:rsidRDefault="00D97D23" w:rsidP="00D97D23">
            <w:pPr>
              <w:rPr>
                <w:rFonts w:asciiTheme="majorHAnsi" w:hAnsiTheme="majorHAnsi" w:cstheme="majorHAnsi"/>
                <w:bCs/>
                <w:sz w:val="20"/>
                <w:szCs w:val="20"/>
              </w:rPr>
            </w:pPr>
          </w:p>
          <w:p w14:paraId="3AFB411F" w14:textId="77777777" w:rsidR="00D97D23" w:rsidRPr="00B70107" w:rsidRDefault="00F1041F" w:rsidP="00D97D23">
            <w:pPr>
              <w:rPr>
                <w:rFonts w:asciiTheme="majorHAnsi" w:hAnsiTheme="majorHAnsi" w:cstheme="majorHAnsi"/>
                <w:bCs/>
                <w:sz w:val="20"/>
                <w:szCs w:val="20"/>
              </w:rPr>
            </w:pPr>
            <w:hyperlink r:id="rId34" w:history="1">
              <w:r w:rsidR="00D97D23" w:rsidRPr="00B70107">
                <w:rPr>
                  <w:rFonts w:asciiTheme="majorHAnsi" w:hAnsiTheme="majorHAnsi" w:cstheme="majorHAnsi"/>
                  <w:bCs/>
                  <w:sz w:val="20"/>
                  <w:szCs w:val="20"/>
                  <w:u w:val="single"/>
                </w:rPr>
                <w:t>https://www.gov.uk/government/statistics/ndns-time-trend-and-income-analyses-for-years-1-to-9</w:t>
              </w:r>
            </w:hyperlink>
            <w:r w:rsidR="00D97D23" w:rsidRPr="00B70107">
              <w:rPr>
                <w:rFonts w:asciiTheme="majorHAnsi" w:hAnsiTheme="majorHAnsi" w:cstheme="majorHAnsi"/>
                <w:bCs/>
                <w:sz w:val="20"/>
                <w:szCs w:val="20"/>
              </w:rPr>
              <w:t xml:space="preserve"> </w:t>
            </w:r>
          </w:p>
          <w:p w14:paraId="53FE2338" w14:textId="77777777" w:rsidR="00D97D23" w:rsidRPr="00B70107" w:rsidRDefault="00D97D23" w:rsidP="00D97D23">
            <w:pPr>
              <w:rPr>
                <w:rFonts w:cstheme="minorHAnsi"/>
                <w:sz w:val="20"/>
                <w:szCs w:val="20"/>
              </w:rPr>
            </w:pPr>
          </w:p>
        </w:tc>
        <w:tc>
          <w:tcPr>
            <w:tcW w:w="2268" w:type="dxa"/>
          </w:tcPr>
          <w:p w14:paraId="579A0DD5" w14:textId="77777777" w:rsidR="00D97D23" w:rsidRPr="00B70107" w:rsidRDefault="00D97D23" w:rsidP="00D97D23">
            <w:pPr>
              <w:rPr>
                <w:rFonts w:cstheme="minorHAnsi"/>
                <w:sz w:val="20"/>
                <w:szCs w:val="20"/>
              </w:rPr>
            </w:pPr>
            <w:r w:rsidRPr="00B70107">
              <w:rPr>
                <w:rFonts w:cstheme="minorHAnsi"/>
                <w:sz w:val="20"/>
                <w:szCs w:val="20"/>
              </w:rPr>
              <w:t xml:space="preserve">Data </w:t>
            </w:r>
            <w:r w:rsidRPr="00B70107">
              <w:rPr>
                <w:rFonts w:cstheme="minorHAnsi"/>
                <w:b/>
                <w:bCs/>
                <w:sz w:val="20"/>
                <w:szCs w:val="20"/>
                <w:u w:val="single"/>
              </w:rPr>
              <w:t>not</w:t>
            </w:r>
            <w:r w:rsidRPr="00B70107">
              <w:rPr>
                <w:rFonts w:cstheme="minorHAnsi"/>
                <w:b/>
                <w:bCs/>
                <w:sz w:val="20"/>
                <w:szCs w:val="20"/>
              </w:rPr>
              <w:t xml:space="preserve"> </w:t>
            </w:r>
            <w:r w:rsidRPr="00B70107">
              <w:rPr>
                <w:rFonts w:cstheme="minorHAnsi"/>
                <w:sz w:val="20"/>
                <w:szCs w:val="20"/>
              </w:rPr>
              <w:t>available separately for Scotland</w:t>
            </w:r>
          </w:p>
        </w:tc>
        <w:tc>
          <w:tcPr>
            <w:tcW w:w="2410" w:type="dxa"/>
          </w:tcPr>
          <w:p w14:paraId="4C119333" w14:textId="77777777" w:rsidR="00D97D23" w:rsidRPr="00B70107" w:rsidRDefault="00D97D23" w:rsidP="00D97D23">
            <w:pPr>
              <w:rPr>
                <w:rFonts w:cstheme="minorHAnsi"/>
                <w:bCs/>
                <w:sz w:val="20"/>
                <w:szCs w:val="20"/>
              </w:rPr>
            </w:pPr>
            <w:r w:rsidRPr="00B70107">
              <w:rPr>
                <w:rFonts w:cstheme="minorHAnsi"/>
                <w:bCs/>
                <w:sz w:val="20"/>
                <w:szCs w:val="20"/>
              </w:rPr>
              <w:t>Methods: 4-day non-weighed diet diary</w:t>
            </w:r>
          </w:p>
        </w:tc>
        <w:tc>
          <w:tcPr>
            <w:tcW w:w="2891" w:type="dxa"/>
          </w:tcPr>
          <w:p w14:paraId="5948D7CE" w14:textId="77777777" w:rsidR="00D97D23" w:rsidRPr="00B70107" w:rsidRDefault="00D97D23" w:rsidP="00D97D23">
            <w:pPr>
              <w:rPr>
                <w:rFonts w:cstheme="minorHAnsi"/>
                <w:bCs/>
                <w:sz w:val="20"/>
                <w:szCs w:val="20"/>
              </w:rPr>
            </w:pPr>
            <w:r w:rsidRPr="00B70107">
              <w:rPr>
                <w:rFonts w:cstheme="minorHAnsi"/>
                <w:bCs/>
                <w:sz w:val="20"/>
                <w:szCs w:val="20"/>
              </w:rPr>
              <w:t>In 1.5-3 y olds the energy intake was 4.45 MJ/d in boys and girls combined. The mean energy intake in 4-10 y olds was 6.44 MJ/d in boys and 5.69 MJ/d in girls, while for 11-18 y olds mean energy intake was 7.43 MJ/d in boys and 6.51 MJ/d in girls. Total fat as a % food energy was 35.3 % in 1.5-3 y olds, 34.1 % in boys and 34.2 % in girls aged 4-10 y and 34.0 % in boys and 34.5 % in girls aged 11-18 y. Saturated fatty acids as a % food energy was 14.8 % in 1.5-3 y olds, 13.0 % in boys and 13.1 % in girls aged 4-10 y and 12.7 % in boys and 12.5 % in girls aged 11-18 y. Free sugars as a % total energy was 9.7 % in 1.5-3 y olds, 12.4 % in boys and 11.8 % in girls aged 4-10 y and 12.1 % in boys and 12.1 % in girls aged 11-18 y.</w:t>
            </w:r>
          </w:p>
        </w:tc>
        <w:tc>
          <w:tcPr>
            <w:tcW w:w="2693" w:type="dxa"/>
          </w:tcPr>
          <w:p w14:paraId="5A8BD03A" w14:textId="77777777" w:rsidR="00D97D23" w:rsidRPr="00B70107" w:rsidRDefault="00D97D23" w:rsidP="00D97D23">
            <w:pPr>
              <w:rPr>
                <w:sz w:val="20"/>
                <w:szCs w:val="20"/>
              </w:rPr>
            </w:pPr>
            <w:r w:rsidRPr="00B70107">
              <w:rPr>
                <w:sz w:val="20"/>
                <w:szCs w:val="20"/>
              </w:rPr>
              <w:t>UK wide data. No new Scottish data since the 2016 report card.</w:t>
            </w:r>
          </w:p>
        </w:tc>
      </w:tr>
      <w:tr w:rsidR="00D97D23" w:rsidRPr="00B70107" w14:paraId="4AFE8AC5" w14:textId="77777777" w:rsidTr="001A01DC">
        <w:tc>
          <w:tcPr>
            <w:tcW w:w="3912" w:type="dxa"/>
          </w:tcPr>
          <w:p w14:paraId="275071BD" w14:textId="77777777" w:rsidR="00D97D23" w:rsidRPr="00B70107" w:rsidRDefault="00D97D23" w:rsidP="00D97D23">
            <w:pPr>
              <w:rPr>
                <w:rFonts w:asciiTheme="majorHAnsi" w:hAnsiTheme="majorHAnsi" w:cstheme="majorHAnsi"/>
                <w:bCs/>
                <w:sz w:val="20"/>
                <w:szCs w:val="20"/>
              </w:rPr>
            </w:pPr>
            <w:r w:rsidRPr="00B70107">
              <w:rPr>
                <w:rFonts w:asciiTheme="majorHAnsi" w:hAnsiTheme="majorHAnsi" w:cstheme="majorHAnsi"/>
                <w:b/>
                <w:sz w:val="20"/>
                <w:szCs w:val="20"/>
              </w:rPr>
              <w:t xml:space="preserve">Survey: </w:t>
            </w:r>
            <w:r w:rsidRPr="00B70107">
              <w:rPr>
                <w:rFonts w:asciiTheme="majorHAnsi" w:hAnsiTheme="majorHAnsi" w:cstheme="majorHAnsi"/>
                <w:bCs/>
                <w:sz w:val="20"/>
                <w:szCs w:val="20"/>
              </w:rPr>
              <w:t>Health Behaviour in School-Aged Children (HBSC) Scotland Study</w:t>
            </w:r>
          </w:p>
          <w:p w14:paraId="54281CA7" w14:textId="77777777" w:rsidR="00D97D23" w:rsidRPr="00B70107" w:rsidRDefault="00D97D23" w:rsidP="00D97D23">
            <w:pPr>
              <w:rPr>
                <w:rFonts w:asciiTheme="majorHAnsi" w:hAnsiTheme="majorHAnsi" w:cstheme="majorHAnsi"/>
                <w:bCs/>
                <w:sz w:val="20"/>
                <w:szCs w:val="20"/>
              </w:rPr>
            </w:pPr>
          </w:p>
          <w:p w14:paraId="21E006F7" w14:textId="77777777" w:rsidR="00D97D23" w:rsidRPr="00B70107" w:rsidRDefault="00D97D23" w:rsidP="00D97D23">
            <w:pPr>
              <w:rPr>
                <w:rFonts w:asciiTheme="majorHAnsi" w:hAnsiTheme="majorHAnsi" w:cstheme="majorHAnsi"/>
                <w:bCs/>
                <w:sz w:val="20"/>
                <w:szCs w:val="20"/>
              </w:rPr>
            </w:pPr>
            <w:r w:rsidRPr="00B70107">
              <w:rPr>
                <w:rFonts w:asciiTheme="majorHAnsi" w:hAnsiTheme="majorHAnsi" w:cstheme="majorHAnsi"/>
                <w:b/>
                <w:sz w:val="20"/>
                <w:szCs w:val="20"/>
              </w:rPr>
              <w:t xml:space="preserve">Publication: </w:t>
            </w:r>
            <w:r w:rsidRPr="00B70107">
              <w:rPr>
                <w:rFonts w:asciiTheme="majorHAnsi" w:hAnsiTheme="majorHAnsi" w:cstheme="majorHAnsi"/>
                <w:bCs/>
                <w:sz w:val="20"/>
                <w:szCs w:val="20"/>
              </w:rPr>
              <w:t xml:space="preserve">Findings from the HBSC Survey in Scotland 2018 (published Jan 2020) </w:t>
            </w:r>
            <w:hyperlink r:id="rId35" w:history="1">
              <w:r w:rsidRPr="00B70107">
                <w:rPr>
                  <w:rFonts w:asciiTheme="majorHAnsi" w:hAnsiTheme="majorHAnsi" w:cstheme="majorHAnsi"/>
                  <w:bCs/>
                  <w:sz w:val="20"/>
                  <w:szCs w:val="20"/>
                  <w:u w:val="single"/>
                </w:rPr>
                <w:t>https://www.gla.ac.uk/media/Media_707475_smxx.pdf</w:t>
              </w:r>
            </w:hyperlink>
          </w:p>
          <w:p w14:paraId="2A77F278" w14:textId="77777777" w:rsidR="00D97D23" w:rsidRPr="00B70107" w:rsidRDefault="00D97D23" w:rsidP="00D97D23">
            <w:pPr>
              <w:rPr>
                <w:rFonts w:asciiTheme="majorHAnsi" w:hAnsiTheme="majorHAnsi" w:cstheme="majorHAnsi"/>
                <w:bCs/>
                <w:sz w:val="20"/>
                <w:szCs w:val="20"/>
              </w:rPr>
            </w:pPr>
          </w:p>
          <w:p w14:paraId="569DBD09" w14:textId="77777777" w:rsidR="00D97D23" w:rsidRPr="00B70107" w:rsidRDefault="00D97D23" w:rsidP="00D97D23">
            <w:pPr>
              <w:rPr>
                <w:rFonts w:asciiTheme="majorHAnsi" w:eastAsia="Times New Roman" w:hAnsiTheme="majorHAnsi" w:cstheme="majorHAnsi"/>
                <w:sz w:val="20"/>
                <w:szCs w:val="20"/>
                <w:lang w:eastAsia="en-GB"/>
              </w:rPr>
            </w:pPr>
            <w:r w:rsidRPr="00B70107">
              <w:rPr>
                <w:rFonts w:asciiTheme="majorHAnsi" w:eastAsia="Times New Roman" w:hAnsiTheme="majorHAnsi" w:cstheme="majorHAnsi"/>
                <w:b/>
                <w:sz w:val="20"/>
                <w:szCs w:val="20"/>
                <w:lang w:eastAsia="en-GB"/>
              </w:rPr>
              <w:t xml:space="preserve">Data Sources:  </w:t>
            </w:r>
          </w:p>
          <w:p w14:paraId="7C69DB22" w14:textId="77777777" w:rsidR="00D97D23" w:rsidRPr="00B70107" w:rsidRDefault="00D97D23" w:rsidP="00D97D23">
            <w:pPr>
              <w:rPr>
                <w:rFonts w:asciiTheme="majorHAnsi" w:hAnsiTheme="majorHAnsi" w:cstheme="majorHAnsi"/>
                <w:bCs/>
                <w:sz w:val="20"/>
                <w:szCs w:val="20"/>
              </w:rPr>
            </w:pPr>
          </w:p>
          <w:p w14:paraId="04089187" w14:textId="77777777" w:rsidR="00D97D23" w:rsidRPr="00B70107" w:rsidRDefault="00F1041F" w:rsidP="00D97D23">
            <w:pPr>
              <w:rPr>
                <w:rFonts w:asciiTheme="majorHAnsi" w:hAnsiTheme="majorHAnsi" w:cstheme="majorHAnsi"/>
                <w:bCs/>
                <w:sz w:val="20"/>
                <w:szCs w:val="20"/>
              </w:rPr>
            </w:pPr>
            <w:hyperlink r:id="rId36" w:history="1">
              <w:r w:rsidR="00D97D23" w:rsidRPr="00B70107">
                <w:rPr>
                  <w:rFonts w:asciiTheme="majorHAnsi" w:hAnsiTheme="majorHAnsi" w:cstheme="majorHAnsi"/>
                  <w:bCs/>
                  <w:sz w:val="20"/>
                  <w:szCs w:val="20"/>
                  <w:u w:val="single"/>
                </w:rPr>
                <w:t>https://www.uib.no/en/hbscdata</w:t>
              </w:r>
            </w:hyperlink>
            <w:r w:rsidR="00D97D23" w:rsidRPr="00B70107">
              <w:rPr>
                <w:rFonts w:asciiTheme="majorHAnsi" w:hAnsiTheme="majorHAnsi" w:cstheme="majorHAnsi"/>
                <w:bCs/>
                <w:sz w:val="20"/>
                <w:szCs w:val="20"/>
              </w:rPr>
              <w:t xml:space="preserve"> </w:t>
            </w:r>
          </w:p>
          <w:p w14:paraId="57C3AA5A" w14:textId="77777777" w:rsidR="00D97D23" w:rsidRPr="00B70107" w:rsidRDefault="00D97D23" w:rsidP="00D97D23">
            <w:pPr>
              <w:rPr>
                <w:rFonts w:asciiTheme="majorHAnsi" w:hAnsiTheme="majorHAnsi" w:cstheme="majorHAnsi"/>
                <w:b/>
                <w:sz w:val="20"/>
                <w:szCs w:val="20"/>
              </w:rPr>
            </w:pPr>
          </w:p>
          <w:p w14:paraId="086B3563" w14:textId="77777777" w:rsidR="00D97D23" w:rsidRPr="00B70107" w:rsidRDefault="00D97D23" w:rsidP="00D97D23">
            <w:pPr>
              <w:rPr>
                <w:rFonts w:asciiTheme="majorHAnsi" w:hAnsiTheme="majorHAnsi" w:cstheme="majorHAnsi"/>
                <w:b/>
                <w:sz w:val="20"/>
                <w:szCs w:val="20"/>
              </w:rPr>
            </w:pPr>
          </w:p>
          <w:p w14:paraId="13EBBFA7" w14:textId="77777777" w:rsidR="00D97D23" w:rsidRPr="00B70107" w:rsidRDefault="00D97D23" w:rsidP="00D97D23">
            <w:pPr>
              <w:rPr>
                <w:rFonts w:asciiTheme="majorHAnsi" w:hAnsiTheme="majorHAnsi" w:cstheme="majorHAnsi"/>
                <w:b/>
                <w:sz w:val="20"/>
                <w:szCs w:val="20"/>
              </w:rPr>
            </w:pPr>
          </w:p>
          <w:p w14:paraId="56243558" w14:textId="77777777" w:rsidR="00D97D23" w:rsidRPr="00B70107" w:rsidRDefault="00D97D23" w:rsidP="00D97D23">
            <w:pPr>
              <w:rPr>
                <w:rFonts w:asciiTheme="majorHAnsi" w:hAnsiTheme="majorHAnsi" w:cstheme="majorHAnsi"/>
                <w:b/>
                <w:sz w:val="20"/>
                <w:szCs w:val="20"/>
              </w:rPr>
            </w:pPr>
          </w:p>
          <w:p w14:paraId="461F5C57" w14:textId="77777777" w:rsidR="00D97D23" w:rsidRPr="00B70107" w:rsidRDefault="00D97D23" w:rsidP="00D97D23">
            <w:pPr>
              <w:rPr>
                <w:rFonts w:asciiTheme="majorHAnsi" w:hAnsiTheme="majorHAnsi" w:cstheme="majorHAnsi"/>
                <w:b/>
                <w:sz w:val="20"/>
                <w:szCs w:val="20"/>
              </w:rPr>
            </w:pPr>
          </w:p>
          <w:p w14:paraId="3C265A9C" w14:textId="77777777" w:rsidR="00D97D23" w:rsidRPr="00B70107" w:rsidRDefault="00D97D23" w:rsidP="00D97D23">
            <w:pPr>
              <w:rPr>
                <w:rFonts w:asciiTheme="majorHAnsi" w:hAnsiTheme="majorHAnsi" w:cstheme="majorHAnsi"/>
                <w:b/>
                <w:sz w:val="20"/>
                <w:szCs w:val="20"/>
              </w:rPr>
            </w:pPr>
          </w:p>
        </w:tc>
        <w:tc>
          <w:tcPr>
            <w:tcW w:w="2268" w:type="dxa"/>
          </w:tcPr>
          <w:p w14:paraId="266EE6D1"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Nationally representative samples of 5,286 young people aged 11, 13 and 15 </w:t>
            </w:r>
          </w:p>
        </w:tc>
        <w:tc>
          <w:tcPr>
            <w:tcW w:w="2410" w:type="dxa"/>
          </w:tcPr>
          <w:p w14:paraId="0799B918" w14:textId="77777777" w:rsidR="00D97D23" w:rsidRPr="00B70107" w:rsidDel="00EE604D"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The family affluence scale (FAS) was referred to. Each participant completes an anonymized, HBSC international standard paper-based questionnaire under exam conditions. FAS was expressed as low, medium and high.</w:t>
            </w:r>
          </w:p>
        </w:tc>
        <w:tc>
          <w:tcPr>
            <w:tcW w:w="2891" w:type="dxa"/>
          </w:tcPr>
          <w:p w14:paraId="2F5E870A"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Daily fruit consumption by age:</w:t>
            </w:r>
          </w:p>
          <w:p w14:paraId="586F62BF"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11yo:  41% (M 38%, F 44%)</w:t>
            </w:r>
          </w:p>
          <w:p w14:paraId="442C2A9A"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13yo:  35% (M 29%, F 40%)</w:t>
            </w:r>
          </w:p>
          <w:p w14:paraId="6D6B4164"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15yo:  30% (M 24%, F 36%) </w:t>
            </w:r>
          </w:p>
          <w:p w14:paraId="46B8854D" w14:textId="77777777" w:rsidR="00D97D23" w:rsidRPr="00B70107" w:rsidRDefault="00D97D23" w:rsidP="00D97D23">
            <w:pPr>
              <w:autoSpaceDE w:val="0"/>
              <w:autoSpaceDN w:val="0"/>
              <w:adjustRightInd w:val="0"/>
              <w:rPr>
                <w:rFonts w:asciiTheme="majorHAnsi" w:hAnsiTheme="majorHAnsi" w:cstheme="majorHAnsi"/>
                <w:sz w:val="20"/>
                <w:szCs w:val="20"/>
              </w:rPr>
            </w:pPr>
          </w:p>
          <w:p w14:paraId="2FDEAB13"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Daily fruit consumption by FAS:</w:t>
            </w:r>
          </w:p>
          <w:p w14:paraId="0C55B20D"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Low: 23%, Medium: 36%, High: 48%</w:t>
            </w:r>
          </w:p>
          <w:p w14:paraId="4E9C4E66" w14:textId="77777777" w:rsidR="00D97D23" w:rsidRPr="00B70107" w:rsidRDefault="00D97D23" w:rsidP="00D97D23">
            <w:pPr>
              <w:autoSpaceDE w:val="0"/>
              <w:autoSpaceDN w:val="0"/>
              <w:adjustRightInd w:val="0"/>
              <w:rPr>
                <w:rFonts w:asciiTheme="majorHAnsi" w:hAnsiTheme="majorHAnsi" w:cstheme="majorHAnsi"/>
                <w:sz w:val="20"/>
                <w:szCs w:val="20"/>
              </w:rPr>
            </w:pPr>
          </w:p>
          <w:p w14:paraId="5D78894D"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Daily vegetable consumption by age:</w:t>
            </w:r>
          </w:p>
          <w:p w14:paraId="74383E8A"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11yo:  35% (M 31%, F 39%)</w:t>
            </w:r>
          </w:p>
          <w:p w14:paraId="2CC41FBB"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13yo:  39% (M 35%, F 43%)</w:t>
            </w:r>
          </w:p>
          <w:p w14:paraId="7B021C7A"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15yo:  35% (M 28%, F 42%) </w:t>
            </w:r>
          </w:p>
          <w:p w14:paraId="1B0B6278" w14:textId="77777777" w:rsidR="00D97D23" w:rsidRPr="00B70107" w:rsidRDefault="00D97D23" w:rsidP="00D97D23">
            <w:pPr>
              <w:autoSpaceDE w:val="0"/>
              <w:autoSpaceDN w:val="0"/>
              <w:adjustRightInd w:val="0"/>
              <w:rPr>
                <w:rFonts w:asciiTheme="majorHAnsi" w:hAnsiTheme="majorHAnsi" w:cstheme="majorHAnsi"/>
                <w:sz w:val="20"/>
                <w:szCs w:val="20"/>
              </w:rPr>
            </w:pPr>
          </w:p>
          <w:p w14:paraId="1ECD49AC"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Daily vegetable consumption by FAS:</w:t>
            </w:r>
          </w:p>
          <w:p w14:paraId="4490082D"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Low: 25%, Medium: 46%, High: 49%</w:t>
            </w:r>
          </w:p>
          <w:p w14:paraId="64968521" w14:textId="77777777" w:rsidR="00D97D23" w:rsidRPr="00B70107" w:rsidRDefault="00D97D23" w:rsidP="00D97D23">
            <w:pPr>
              <w:autoSpaceDE w:val="0"/>
              <w:autoSpaceDN w:val="0"/>
              <w:adjustRightInd w:val="0"/>
              <w:rPr>
                <w:rFonts w:asciiTheme="majorHAnsi" w:hAnsiTheme="majorHAnsi" w:cstheme="majorHAnsi"/>
                <w:sz w:val="20"/>
                <w:szCs w:val="20"/>
              </w:rPr>
            </w:pPr>
          </w:p>
          <w:p w14:paraId="7D7E3A92"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 xml:space="preserve">40% of all girls / 30% of all boys ate fruit every daily whereas 41% of all girls / 31% of all boys ate vegetables every day. Fruit consumption decreased with age whereas vegetable consumption remained low. </w:t>
            </w:r>
          </w:p>
          <w:p w14:paraId="6E99EF58" w14:textId="77777777" w:rsidR="00D97D23" w:rsidRPr="00B70107" w:rsidRDefault="00D97D23" w:rsidP="00D97D23">
            <w:pPr>
              <w:rPr>
                <w:rFonts w:asciiTheme="majorHAnsi" w:hAnsiTheme="majorHAnsi" w:cstheme="majorHAnsi"/>
                <w:sz w:val="20"/>
                <w:szCs w:val="20"/>
              </w:rPr>
            </w:pPr>
          </w:p>
          <w:p w14:paraId="227FE9FF"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For every age group, girls had a higher fruit and vegetable intake.</w:t>
            </w:r>
          </w:p>
          <w:p w14:paraId="2040AC30" w14:textId="77777777" w:rsidR="00D97D23" w:rsidRPr="00B70107" w:rsidRDefault="00D97D23" w:rsidP="00D97D23">
            <w:pPr>
              <w:rPr>
                <w:rFonts w:asciiTheme="majorHAnsi" w:hAnsiTheme="majorHAnsi" w:cstheme="majorHAnsi"/>
                <w:sz w:val="20"/>
                <w:szCs w:val="20"/>
              </w:rPr>
            </w:pPr>
          </w:p>
          <w:p w14:paraId="6C1A6B07"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 xml:space="preserve">Breakfast eaten on weekdays by age: </w:t>
            </w:r>
          </w:p>
          <w:p w14:paraId="4C88D138"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11yo:  75% (M 77%, F 74%)</w:t>
            </w:r>
          </w:p>
          <w:p w14:paraId="37CF3DEA"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13yo:  60% (M 68%, F 52%)</w:t>
            </w:r>
          </w:p>
          <w:p w14:paraId="24871B6B"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15yo:  50% (M 56%, F 45%) </w:t>
            </w:r>
          </w:p>
          <w:p w14:paraId="6E339071" w14:textId="77777777" w:rsidR="00D97D23" w:rsidRPr="00B70107" w:rsidRDefault="00D97D23" w:rsidP="00D97D23">
            <w:pPr>
              <w:rPr>
                <w:rFonts w:asciiTheme="majorHAnsi" w:hAnsiTheme="majorHAnsi" w:cstheme="majorHAnsi"/>
                <w:sz w:val="20"/>
                <w:szCs w:val="20"/>
              </w:rPr>
            </w:pPr>
          </w:p>
          <w:p w14:paraId="4B391E36"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Breakfast eaten on weekdays by FAS:</w:t>
            </w:r>
          </w:p>
          <w:p w14:paraId="6948CB77"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Low: 51%, Medium: 63%, High: 68%</w:t>
            </w:r>
          </w:p>
          <w:p w14:paraId="28B289DF" w14:textId="77777777" w:rsidR="00D97D23" w:rsidRPr="00B70107" w:rsidRDefault="00D97D23" w:rsidP="00D97D23">
            <w:pPr>
              <w:rPr>
                <w:rFonts w:asciiTheme="majorHAnsi" w:hAnsiTheme="majorHAnsi" w:cstheme="majorHAnsi"/>
                <w:sz w:val="20"/>
                <w:szCs w:val="20"/>
              </w:rPr>
            </w:pPr>
          </w:p>
          <w:p w14:paraId="645FEA3B"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62% of adolescents reported eating breakfast every school day, this decreased with age. Those with higher FAS were less likely to skip breakfast. Girls were more likely to skip breakfast. This trend has been reported on for over a decade.</w:t>
            </w:r>
          </w:p>
          <w:p w14:paraId="4EA9B871" w14:textId="77777777" w:rsidR="00D97D23" w:rsidRPr="00B70107" w:rsidRDefault="00D97D23" w:rsidP="00D97D23">
            <w:pPr>
              <w:rPr>
                <w:rFonts w:asciiTheme="majorHAnsi" w:hAnsiTheme="majorHAnsi" w:cstheme="majorHAnsi"/>
                <w:sz w:val="20"/>
                <w:szCs w:val="20"/>
              </w:rPr>
            </w:pPr>
          </w:p>
          <w:p w14:paraId="6015AD2D"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Soft drinks and energy drinks by age:</w:t>
            </w:r>
          </w:p>
          <w:p w14:paraId="3AA1874B"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11yo:  14% (M 17%, F 11%)</w:t>
            </w:r>
          </w:p>
          <w:p w14:paraId="61D009F5"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13yo:  18.5% (M 21%, F 16%)</w:t>
            </w:r>
          </w:p>
          <w:p w14:paraId="051AE150"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15yo:  20% (M 23%, F 17%) </w:t>
            </w:r>
          </w:p>
          <w:p w14:paraId="73425D5A" w14:textId="77777777" w:rsidR="00D97D23" w:rsidRPr="00B70107" w:rsidRDefault="00D97D23" w:rsidP="00D97D23">
            <w:pPr>
              <w:rPr>
                <w:rFonts w:asciiTheme="majorHAnsi" w:hAnsiTheme="majorHAnsi" w:cstheme="majorHAnsi"/>
                <w:sz w:val="20"/>
                <w:szCs w:val="20"/>
              </w:rPr>
            </w:pPr>
          </w:p>
          <w:p w14:paraId="540434BD"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Daily consumption of soft drinks by FAS:</w:t>
            </w:r>
          </w:p>
          <w:p w14:paraId="406817FE" w14:textId="77777777" w:rsidR="00D97D23" w:rsidRPr="00B70107" w:rsidRDefault="00D97D23" w:rsidP="00D97D23">
            <w:pPr>
              <w:autoSpaceDE w:val="0"/>
              <w:autoSpaceDN w:val="0"/>
              <w:adjustRightInd w:val="0"/>
              <w:rPr>
                <w:rFonts w:asciiTheme="majorHAnsi" w:eastAsia="Times New Roman" w:hAnsiTheme="majorHAnsi" w:cstheme="majorHAnsi"/>
                <w:sz w:val="20"/>
                <w:szCs w:val="20"/>
                <w:lang w:eastAsia="en-GB"/>
              </w:rPr>
            </w:pPr>
            <w:r w:rsidRPr="00B70107">
              <w:rPr>
                <w:rFonts w:asciiTheme="majorHAnsi" w:hAnsiTheme="majorHAnsi" w:cstheme="majorHAnsi"/>
                <w:sz w:val="20"/>
                <w:szCs w:val="20"/>
              </w:rPr>
              <w:t>Low: 23%, Medium: 17%, High: 12%</w:t>
            </w:r>
          </w:p>
          <w:p w14:paraId="746D433D" w14:textId="77777777" w:rsidR="00D97D23" w:rsidRPr="00B70107" w:rsidRDefault="00D97D23" w:rsidP="00D97D23">
            <w:pPr>
              <w:rPr>
                <w:rFonts w:asciiTheme="majorHAnsi" w:hAnsiTheme="majorHAnsi" w:cstheme="majorHAnsi"/>
                <w:sz w:val="20"/>
                <w:szCs w:val="20"/>
              </w:rPr>
            </w:pPr>
          </w:p>
          <w:p w14:paraId="1EB95E71"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Daily consumption of energy drinks by FAS:</w:t>
            </w:r>
          </w:p>
          <w:p w14:paraId="4868E274" w14:textId="77777777" w:rsidR="00D97D23" w:rsidRPr="00B70107" w:rsidRDefault="00D97D23" w:rsidP="00D97D23">
            <w:pPr>
              <w:autoSpaceDE w:val="0"/>
              <w:autoSpaceDN w:val="0"/>
              <w:adjustRightInd w:val="0"/>
              <w:rPr>
                <w:rFonts w:asciiTheme="majorHAnsi" w:eastAsia="Times New Roman" w:hAnsiTheme="majorHAnsi" w:cstheme="majorHAnsi"/>
                <w:sz w:val="20"/>
                <w:szCs w:val="20"/>
                <w:lang w:eastAsia="en-GB"/>
              </w:rPr>
            </w:pPr>
            <w:r w:rsidRPr="00B70107">
              <w:rPr>
                <w:rFonts w:asciiTheme="majorHAnsi" w:hAnsiTheme="majorHAnsi" w:cstheme="majorHAnsi"/>
                <w:sz w:val="20"/>
                <w:szCs w:val="20"/>
              </w:rPr>
              <w:t>Low: 7%, Medium: 5%, High: 4%</w:t>
            </w:r>
          </w:p>
          <w:p w14:paraId="7AC447F7" w14:textId="77777777" w:rsidR="00D97D23" w:rsidRPr="00B70107" w:rsidRDefault="00D97D23" w:rsidP="00D97D23">
            <w:pPr>
              <w:rPr>
                <w:rFonts w:asciiTheme="majorHAnsi" w:hAnsiTheme="majorHAnsi" w:cstheme="majorHAnsi"/>
                <w:sz w:val="20"/>
                <w:szCs w:val="20"/>
              </w:rPr>
            </w:pPr>
          </w:p>
          <w:p w14:paraId="5709C80A"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Sweets or chocolate consumption by age:</w:t>
            </w:r>
          </w:p>
          <w:p w14:paraId="2D4C0478"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11yo:  27.5% (M 26%, F 29%)</w:t>
            </w:r>
          </w:p>
          <w:p w14:paraId="58544B74"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13yo:  26% (M 24%, F 28%)</w:t>
            </w:r>
          </w:p>
          <w:p w14:paraId="34DF9581"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15yo:  29% (M 30%, F 28%) </w:t>
            </w:r>
          </w:p>
          <w:p w14:paraId="00775314" w14:textId="77777777" w:rsidR="00D97D23" w:rsidRPr="00B70107" w:rsidRDefault="00D97D23" w:rsidP="00D97D23">
            <w:pPr>
              <w:rPr>
                <w:rFonts w:asciiTheme="majorHAnsi" w:hAnsiTheme="majorHAnsi" w:cstheme="majorHAnsi"/>
                <w:sz w:val="20"/>
                <w:szCs w:val="20"/>
              </w:rPr>
            </w:pPr>
          </w:p>
          <w:p w14:paraId="7CBAD83D"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Daily consumption of sweets or chocolate by FAS:</w:t>
            </w:r>
          </w:p>
          <w:p w14:paraId="2706A249"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Low: 29%, Medium: 27%, High: 29%</w:t>
            </w:r>
          </w:p>
          <w:p w14:paraId="448C8EC7" w14:textId="77777777" w:rsidR="00D97D23" w:rsidRPr="00B70107" w:rsidRDefault="00D97D23" w:rsidP="00D97D23">
            <w:pPr>
              <w:rPr>
                <w:rFonts w:asciiTheme="majorHAnsi" w:hAnsiTheme="majorHAnsi" w:cstheme="majorHAnsi"/>
                <w:sz w:val="20"/>
                <w:szCs w:val="20"/>
              </w:rPr>
            </w:pPr>
          </w:p>
          <w:p w14:paraId="5F4E5457"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Daily consumption of cakes or biscuits by FAS:</w:t>
            </w:r>
          </w:p>
          <w:p w14:paraId="5B066499"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Low: 13%, Medium: 11%, High: 12%</w:t>
            </w:r>
          </w:p>
          <w:p w14:paraId="1F4E1701" w14:textId="77777777" w:rsidR="00D97D23" w:rsidRPr="00B70107" w:rsidRDefault="00D97D23" w:rsidP="00D97D23">
            <w:pPr>
              <w:rPr>
                <w:rFonts w:asciiTheme="majorHAnsi" w:hAnsiTheme="majorHAnsi" w:cstheme="majorHAnsi"/>
                <w:sz w:val="20"/>
                <w:szCs w:val="20"/>
              </w:rPr>
            </w:pPr>
          </w:p>
          <w:p w14:paraId="11D5378A"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Daily consumption of crisps by FAS:</w:t>
            </w:r>
          </w:p>
          <w:p w14:paraId="3BC0691F"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Low: 20%, Medium: 17%, High: 17%</w:t>
            </w:r>
          </w:p>
          <w:p w14:paraId="5F8DA8BF" w14:textId="77777777" w:rsidR="00D97D23" w:rsidRPr="00B70107" w:rsidRDefault="00D97D23" w:rsidP="00D97D23">
            <w:pPr>
              <w:autoSpaceDE w:val="0"/>
              <w:autoSpaceDN w:val="0"/>
              <w:adjustRightInd w:val="0"/>
              <w:rPr>
                <w:rFonts w:asciiTheme="majorHAnsi" w:hAnsiTheme="majorHAnsi" w:cstheme="majorHAnsi"/>
                <w:sz w:val="20"/>
                <w:szCs w:val="20"/>
              </w:rPr>
            </w:pPr>
          </w:p>
          <w:p w14:paraId="588F8319"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Daily consumption of crisps by FAS:</w:t>
            </w:r>
          </w:p>
          <w:p w14:paraId="14A53C83" w14:textId="77777777" w:rsidR="00D97D23" w:rsidRPr="00B70107" w:rsidRDefault="00D97D23" w:rsidP="00D97D23">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Low: 11%, Medium: 8%, High: 6%</w:t>
            </w:r>
          </w:p>
          <w:p w14:paraId="220F2CAE" w14:textId="77777777" w:rsidR="00D97D23" w:rsidRPr="00B70107" w:rsidDel="008B63D6" w:rsidRDefault="00D97D23" w:rsidP="00D97D23">
            <w:pPr>
              <w:autoSpaceDE w:val="0"/>
              <w:autoSpaceDN w:val="0"/>
              <w:adjustRightInd w:val="0"/>
              <w:rPr>
                <w:rFonts w:asciiTheme="majorHAnsi" w:hAnsiTheme="majorHAnsi" w:cstheme="majorHAnsi"/>
                <w:sz w:val="20"/>
                <w:szCs w:val="20"/>
              </w:rPr>
            </w:pPr>
          </w:p>
        </w:tc>
        <w:tc>
          <w:tcPr>
            <w:tcW w:w="2693" w:type="dxa"/>
          </w:tcPr>
          <w:p w14:paraId="3B31E6CD"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Study is completed every four years.</w:t>
            </w:r>
          </w:p>
          <w:p w14:paraId="04702D47"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 xml:space="preserve">Younger children ate more fruit than older children and girls more fruit and vegetables than boys. </w:t>
            </w:r>
          </w:p>
          <w:p w14:paraId="5E85B85C" w14:textId="77777777" w:rsidR="00D97D23" w:rsidRPr="00B70107" w:rsidRDefault="00D97D23" w:rsidP="00D97D23">
            <w:pPr>
              <w:rPr>
                <w:rFonts w:asciiTheme="majorHAnsi" w:hAnsiTheme="majorHAnsi" w:cstheme="majorHAnsi"/>
                <w:sz w:val="20"/>
                <w:szCs w:val="20"/>
              </w:rPr>
            </w:pPr>
            <w:r w:rsidRPr="00B70107">
              <w:rPr>
                <w:rFonts w:asciiTheme="majorHAnsi" w:hAnsiTheme="majorHAnsi" w:cstheme="majorHAnsi"/>
                <w:sz w:val="20"/>
                <w:szCs w:val="20"/>
              </w:rPr>
              <w:t xml:space="preserve">Consumption of fruit and vegetables increased with increase in family affluence and consumption of high fat/high sugar foods decreased. </w:t>
            </w:r>
          </w:p>
        </w:tc>
      </w:tr>
      <w:tr w:rsidR="00D97D23" w:rsidRPr="00B70107" w14:paraId="0C5BAF57" w14:textId="77777777" w:rsidTr="001A01DC">
        <w:tc>
          <w:tcPr>
            <w:tcW w:w="3912" w:type="dxa"/>
          </w:tcPr>
          <w:p w14:paraId="221E903E" w14:textId="77777777" w:rsidR="00D97D23" w:rsidRPr="00B70107" w:rsidRDefault="00D97D23" w:rsidP="00D97D23">
            <w:pPr>
              <w:autoSpaceDE w:val="0"/>
              <w:autoSpaceDN w:val="0"/>
              <w:adjustRightInd w:val="0"/>
              <w:rPr>
                <w:rFonts w:cstheme="minorHAnsi"/>
                <w:b/>
                <w:sz w:val="20"/>
                <w:szCs w:val="20"/>
              </w:rPr>
            </w:pPr>
            <w:r w:rsidRPr="00B70107">
              <w:rPr>
                <w:rFonts w:cstheme="minorHAnsi"/>
                <w:b/>
                <w:sz w:val="20"/>
                <w:szCs w:val="20"/>
              </w:rPr>
              <w:t xml:space="preserve">Survey: </w:t>
            </w:r>
            <w:r w:rsidRPr="00B70107">
              <w:rPr>
                <w:rFonts w:cstheme="minorHAnsi"/>
                <w:sz w:val="20"/>
                <w:szCs w:val="20"/>
              </w:rPr>
              <w:t>Living Costs and Food Survey (LCFS) data from years 2013 to 2015 published in</w:t>
            </w:r>
            <w:r w:rsidRPr="00B70107">
              <w:rPr>
                <w:rFonts w:cstheme="minorHAnsi"/>
                <w:b/>
                <w:sz w:val="20"/>
                <w:szCs w:val="20"/>
              </w:rPr>
              <w:t xml:space="preserve">: </w:t>
            </w:r>
          </w:p>
          <w:p w14:paraId="09906ADA" w14:textId="77777777" w:rsidR="00D97D23" w:rsidRPr="00B70107" w:rsidRDefault="00D97D23" w:rsidP="00D97D23">
            <w:pPr>
              <w:numPr>
                <w:ilvl w:val="0"/>
                <w:numId w:val="6"/>
              </w:numPr>
              <w:autoSpaceDE w:val="0"/>
              <w:autoSpaceDN w:val="0"/>
              <w:adjustRightInd w:val="0"/>
              <w:contextualSpacing/>
              <w:rPr>
                <w:rFonts w:cstheme="minorHAnsi"/>
                <w:sz w:val="20"/>
                <w:szCs w:val="20"/>
              </w:rPr>
            </w:pPr>
            <w:r w:rsidRPr="00B70107">
              <w:rPr>
                <w:rFonts w:cstheme="minorHAnsi"/>
                <w:sz w:val="20"/>
                <w:szCs w:val="20"/>
              </w:rPr>
              <w:t xml:space="preserve">Food Standards Scotland. Estimation of food and nutrient intakes from Living Costs and Food Survey data in Scotland (2001 – 2015), </w:t>
            </w:r>
            <w:r w:rsidRPr="00B70107">
              <w:rPr>
                <w:rFonts w:cstheme="minorHAnsi"/>
                <w:b/>
                <w:sz w:val="20"/>
                <w:szCs w:val="20"/>
              </w:rPr>
              <w:t xml:space="preserve">interim report published November 2017 </w:t>
            </w:r>
            <w:r w:rsidRPr="00B70107">
              <w:rPr>
                <w:rFonts w:cstheme="minorHAnsi"/>
                <w:sz w:val="20"/>
                <w:szCs w:val="20"/>
              </w:rPr>
              <w:t xml:space="preserve">http://www.foodstandards.gov.scot/publications-andresearch/latest-estimation-of-food-and-nutrient-intakes-interim-report </w:t>
            </w:r>
          </w:p>
          <w:p w14:paraId="045FD5E3" w14:textId="77777777" w:rsidR="00D97D23" w:rsidRPr="00B70107" w:rsidRDefault="00D97D23" w:rsidP="00D97D23">
            <w:pPr>
              <w:numPr>
                <w:ilvl w:val="0"/>
                <w:numId w:val="6"/>
              </w:numPr>
              <w:autoSpaceDE w:val="0"/>
              <w:autoSpaceDN w:val="0"/>
              <w:adjustRightInd w:val="0"/>
              <w:contextualSpacing/>
              <w:rPr>
                <w:rFonts w:cstheme="minorHAnsi"/>
                <w:sz w:val="20"/>
                <w:szCs w:val="20"/>
              </w:rPr>
            </w:pPr>
            <w:r w:rsidRPr="00B70107">
              <w:rPr>
                <w:rFonts w:cstheme="minorHAnsi"/>
                <w:sz w:val="20"/>
                <w:szCs w:val="20"/>
              </w:rPr>
              <w:t xml:space="preserve">Estimation of food and nutrient intakes from food purchase data in Scotland 2001 – 2015, full report published June 2018 </w:t>
            </w:r>
            <w:hyperlink r:id="rId37" w:history="1">
              <w:r w:rsidRPr="00B70107">
                <w:rPr>
                  <w:rFonts w:cstheme="minorHAnsi"/>
                  <w:sz w:val="20"/>
                  <w:szCs w:val="20"/>
                  <w:u w:val="single"/>
                </w:rPr>
                <w:t>https://www.foodstandards.gov.scot/downloads/D19-01_Final_Report_2001-2015_-_130618.pdf</w:t>
              </w:r>
            </w:hyperlink>
            <w:r w:rsidRPr="00B70107">
              <w:rPr>
                <w:rFonts w:cstheme="minorHAnsi"/>
                <w:sz w:val="20"/>
                <w:szCs w:val="20"/>
              </w:rPr>
              <w:t xml:space="preserve"> </w:t>
            </w:r>
          </w:p>
          <w:p w14:paraId="6B9D0AC7" w14:textId="77777777" w:rsidR="00D97D23" w:rsidRPr="00B70107" w:rsidRDefault="00D97D23" w:rsidP="00D97D23">
            <w:pPr>
              <w:numPr>
                <w:ilvl w:val="0"/>
                <w:numId w:val="6"/>
              </w:numPr>
              <w:autoSpaceDE w:val="0"/>
              <w:autoSpaceDN w:val="0"/>
              <w:adjustRightInd w:val="0"/>
              <w:contextualSpacing/>
              <w:rPr>
                <w:rFonts w:cstheme="minorHAnsi"/>
                <w:sz w:val="20"/>
                <w:szCs w:val="20"/>
              </w:rPr>
            </w:pPr>
            <w:r w:rsidRPr="00B70107">
              <w:rPr>
                <w:rFonts w:cstheme="minorHAnsi"/>
                <w:sz w:val="20"/>
                <w:szCs w:val="20"/>
              </w:rPr>
              <w:t xml:space="preserve">Note: a lot of the data from the above publications is reported in the FSS Situation Report: The Scottish Diet: It needs to change 2018 update </w:t>
            </w:r>
            <w:hyperlink r:id="rId38" w:history="1">
              <w:r w:rsidRPr="00B70107">
                <w:rPr>
                  <w:rFonts w:cstheme="minorHAnsi"/>
                  <w:sz w:val="20"/>
                  <w:szCs w:val="20"/>
                  <w:u w:val="single"/>
                </w:rPr>
                <w:t>https://www.foodstandards.gov.scot/downloads/Situation_report_-_the_Scottish_diet_-_it_needs_to_change_-_2018_update_FINAL.pdf</w:t>
              </w:r>
            </w:hyperlink>
            <w:r w:rsidRPr="00B70107">
              <w:rPr>
                <w:rFonts w:cstheme="minorHAnsi"/>
                <w:sz w:val="20"/>
                <w:szCs w:val="20"/>
              </w:rPr>
              <w:t xml:space="preserve"> </w:t>
            </w:r>
          </w:p>
          <w:p w14:paraId="02B35FAB" w14:textId="77777777" w:rsidR="00D97D23" w:rsidRPr="00B70107" w:rsidRDefault="00D97D23" w:rsidP="00D97D23">
            <w:pPr>
              <w:autoSpaceDE w:val="0"/>
              <w:autoSpaceDN w:val="0"/>
              <w:adjustRightInd w:val="0"/>
              <w:rPr>
                <w:rFonts w:cstheme="minorHAnsi"/>
                <w:sz w:val="20"/>
                <w:szCs w:val="20"/>
              </w:rPr>
            </w:pPr>
          </w:p>
          <w:p w14:paraId="3669E1D6" w14:textId="77777777" w:rsidR="00D97D23" w:rsidRPr="00B70107" w:rsidRDefault="00D97D23" w:rsidP="00D97D23">
            <w:pPr>
              <w:autoSpaceDE w:val="0"/>
              <w:autoSpaceDN w:val="0"/>
              <w:adjustRightInd w:val="0"/>
              <w:rPr>
                <w:rFonts w:cstheme="minorHAnsi"/>
                <w:sz w:val="20"/>
                <w:szCs w:val="20"/>
              </w:rPr>
            </w:pPr>
          </w:p>
          <w:p w14:paraId="1709A9DC" w14:textId="77777777" w:rsidR="00D97D23" w:rsidRPr="00B70107" w:rsidRDefault="00D97D23" w:rsidP="00D97D23">
            <w:pPr>
              <w:autoSpaceDE w:val="0"/>
              <w:autoSpaceDN w:val="0"/>
              <w:adjustRightInd w:val="0"/>
              <w:rPr>
                <w:rFonts w:cstheme="minorHAnsi"/>
                <w:b/>
                <w:sz w:val="20"/>
                <w:szCs w:val="20"/>
              </w:rPr>
            </w:pPr>
          </w:p>
        </w:tc>
        <w:tc>
          <w:tcPr>
            <w:tcW w:w="2268" w:type="dxa"/>
          </w:tcPr>
          <w:p w14:paraId="68C6229A" w14:textId="77777777" w:rsidR="00D97D23" w:rsidRPr="00B70107" w:rsidRDefault="00D97D23" w:rsidP="00D97D23">
            <w:pPr>
              <w:rPr>
                <w:rFonts w:cstheme="minorHAnsi"/>
                <w:sz w:val="20"/>
                <w:szCs w:val="20"/>
              </w:rPr>
            </w:pPr>
            <w:r w:rsidRPr="00B70107">
              <w:rPr>
                <w:rFonts w:cstheme="minorHAnsi"/>
                <w:sz w:val="20"/>
                <w:szCs w:val="20"/>
              </w:rPr>
              <w:t xml:space="preserve">The LCFS is an annual survey and includes a representative sample of households in mainland Scotland, ~550 households (approx. 1300 people/year) </w:t>
            </w:r>
          </w:p>
        </w:tc>
        <w:tc>
          <w:tcPr>
            <w:tcW w:w="2410" w:type="dxa"/>
          </w:tcPr>
          <w:p w14:paraId="142A6B4E" w14:textId="77777777" w:rsidR="00D97D23" w:rsidRPr="00B70107" w:rsidRDefault="00D97D23" w:rsidP="00D97D23">
            <w:pPr>
              <w:rPr>
                <w:sz w:val="20"/>
                <w:szCs w:val="20"/>
              </w:rPr>
            </w:pPr>
            <w:r w:rsidRPr="00B70107">
              <w:rPr>
                <w:b/>
                <w:sz w:val="20"/>
                <w:szCs w:val="20"/>
              </w:rPr>
              <w:t>Method</w:t>
            </w:r>
            <w:r w:rsidRPr="00B70107">
              <w:rPr>
                <w:sz w:val="20"/>
                <w:szCs w:val="20"/>
              </w:rPr>
              <w:t xml:space="preserve">: Provides robust estimates of food consumption and nutrient intakes from 2013 to 2015 in Scotland. These reports also include data from 2001 to look at differences over time and by SIMD.  </w:t>
            </w:r>
          </w:p>
          <w:p w14:paraId="3A633E64" w14:textId="77777777" w:rsidR="00D97D23" w:rsidRPr="00B70107" w:rsidRDefault="00D97D23" w:rsidP="00D97D23">
            <w:pPr>
              <w:rPr>
                <w:sz w:val="20"/>
                <w:szCs w:val="20"/>
              </w:rPr>
            </w:pPr>
            <w:r w:rsidRPr="00B70107">
              <w:rPr>
                <w:sz w:val="20"/>
                <w:szCs w:val="20"/>
              </w:rPr>
              <w:t>The survey collects information on household and eating out food and drinks purchases for every person &gt;7 years of age in each household over a 14 day period using food diaries.  Results are an estimate of a typical average household member. Info is based on food and drinks purchased rather than actual consumption, however waste and other conversion factors are used to estimate the amount of food that was consumed for both household and eating out purchases. Results are reported as population average intakes/mean daily consumption per person of foods, nutrients, energy density, food and drinks indicative of diet quality etc. Estimates mean food consumption and nutrient intake for Scotland based on household and eating out food and drinks purchases.</w:t>
            </w:r>
          </w:p>
        </w:tc>
        <w:tc>
          <w:tcPr>
            <w:tcW w:w="2891" w:type="dxa"/>
          </w:tcPr>
          <w:p w14:paraId="0C5D5EDE" w14:textId="77777777" w:rsidR="00D97D23" w:rsidRPr="00B70107" w:rsidRDefault="00D97D23" w:rsidP="00D97D23">
            <w:pPr>
              <w:rPr>
                <w:bCs/>
                <w:sz w:val="20"/>
                <w:szCs w:val="20"/>
              </w:rPr>
            </w:pPr>
            <w:r w:rsidRPr="00B70107">
              <w:rPr>
                <w:bCs/>
                <w:sz w:val="20"/>
                <w:szCs w:val="20"/>
              </w:rPr>
              <w:t xml:space="preserve">There has been no updated data on this since the last report card. Data presented in FSS Situation Report:  The Scottish Diet: It needs to change </w:t>
            </w:r>
          </w:p>
          <w:p w14:paraId="750D2AA2" w14:textId="77777777" w:rsidR="00D97D23" w:rsidRPr="00B70107" w:rsidRDefault="00D97D23" w:rsidP="00D97D23">
            <w:pPr>
              <w:rPr>
                <w:bCs/>
                <w:sz w:val="20"/>
                <w:szCs w:val="20"/>
              </w:rPr>
            </w:pPr>
            <w:r w:rsidRPr="00B70107">
              <w:rPr>
                <w:bCs/>
                <w:sz w:val="20"/>
                <w:szCs w:val="20"/>
              </w:rPr>
              <w:t>2020 update was for 2013-2015. That showed no progress on energy, density, fibre, fruit &amp; vegetable consumption, oil rich fish consumption and total fat intake, and little progress on free sugars and saturate fat intakes, but a 13% reduction in salt intakes.</w:t>
            </w:r>
          </w:p>
          <w:p w14:paraId="15298DB4" w14:textId="77777777" w:rsidR="00D97D23" w:rsidRPr="00B70107" w:rsidRDefault="00D97D23" w:rsidP="00D97D23">
            <w:pPr>
              <w:rPr>
                <w:b/>
                <w:sz w:val="20"/>
                <w:szCs w:val="20"/>
              </w:rPr>
            </w:pPr>
          </w:p>
          <w:p w14:paraId="762DE7D0" w14:textId="21A508B1" w:rsidR="00D97D23" w:rsidRPr="00B70107" w:rsidRDefault="00D97D23" w:rsidP="00D97D23">
            <w:pPr>
              <w:rPr>
                <w:rFonts w:cstheme="minorHAnsi"/>
                <w:bCs/>
                <w:sz w:val="20"/>
                <w:szCs w:val="20"/>
              </w:rPr>
            </w:pPr>
          </w:p>
        </w:tc>
        <w:tc>
          <w:tcPr>
            <w:tcW w:w="2693" w:type="dxa"/>
          </w:tcPr>
          <w:p w14:paraId="5A2303F5" w14:textId="534B2047" w:rsidR="00D97D23" w:rsidRPr="00B70107" w:rsidRDefault="004F17E1" w:rsidP="00D97D23">
            <w:pPr>
              <w:rPr>
                <w:i/>
                <w:sz w:val="20"/>
                <w:szCs w:val="20"/>
              </w:rPr>
            </w:pPr>
            <w:r w:rsidRPr="00B70107">
              <w:rPr>
                <w:rFonts w:cstheme="minorHAnsi"/>
                <w:bCs/>
                <w:sz w:val="20"/>
                <w:szCs w:val="20"/>
              </w:rPr>
              <w:t xml:space="preserve">Previous report card comments: Data not used for grading as the results are an estimate of a typical average household member, this cannot be reported for children or for parents.  </w:t>
            </w:r>
          </w:p>
        </w:tc>
      </w:tr>
    </w:tbl>
    <w:p w14:paraId="34624E36" w14:textId="77777777" w:rsidR="00D97D23" w:rsidRPr="00B70107" w:rsidRDefault="00D97D23" w:rsidP="00D97D23">
      <w:pPr>
        <w:jc w:val="center"/>
        <w:rPr>
          <w:rFonts w:eastAsia="Times New Roman" w:cs="Times New Roman"/>
          <w:b/>
          <w:bCs/>
          <w:kern w:val="36"/>
          <w:sz w:val="32"/>
          <w:szCs w:val="48"/>
          <w:u w:val="single"/>
          <w:lang w:eastAsia="en-GB"/>
        </w:rPr>
      </w:pPr>
    </w:p>
    <w:p w14:paraId="3A5F2A89" w14:textId="1C0AEB24" w:rsidR="00D97D23" w:rsidRPr="00B70107" w:rsidRDefault="00D97D23" w:rsidP="00D97D23">
      <w:r w:rsidRPr="00B70107">
        <w:br w:type="page"/>
      </w:r>
    </w:p>
    <w:p w14:paraId="69EB91A0" w14:textId="308648B1" w:rsidR="00EB4260" w:rsidRPr="00B70107" w:rsidRDefault="00EB4260" w:rsidP="00D97D23">
      <w:pPr>
        <w:rPr>
          <w:rFonts w:eastAsia="Times New Roman" w:cs="Times New Roman"/>
          <w:b/>
          <w:bCs/>
          <w:kern w:val="36"/>
          <w:sz w:val="28"/>
          <w:szCs w:val="28"/>
          <w:u w:val="single"/>
          <w:lang w:eastAsia="en-GB"/>
        </w:rPr>
      </w:pPr>
      <w:r w:rsidRPr="00B70107">
        <w:rPr>
          <w:b/>
          <w:sz w:val="28"/>
          <w:szCs w:val="28"/>
        </w:rPr>
        <w:t>T</w:t>
      </w:r>
      <w:r w:rsidR="00B70107">
        <w:rPr>
          <w:b/>
          <w:sz w:val="28"/>
          <w:szCs w:val="28"/>
        </w:rPr>
        <w:t xml:space="preserve">able 5 Data Considered for the </w:t>
      </w:r>
      <w:r w:rsidRPr="00B70107">
        <w:rPr>
          <w:b/>
          <w:sz w:val="28"/>
          <w:szCs w:val="28"/>
        </w:rPr>
        <w:t>Obesity Prevalence</w:t>
      </w:r>
      <w:r w:rsidR="00B70107">
        <w:rPr>
          <w:b/>
          <w:sz w:val="28"/>
          <w:szCs w:val="28"/>
        </w:rPr>
        <w:t xml:space="preserve"> Indicator</w:t>
      </w:r>
    </w:p>
    <w:tbl>
      <w:tblPr>
        <w:tblStyle w:val="TableGrid"/>
        <w:tblW w:w="14174" w:type="dxa"/>
        <w:tblLayout w:type="fixed"/>
        <w:tblLook w:val="04A0" w:firstRow="1" w:lastRow="0" w:firstColumn="1" w:lastColumn="0" w:noHBand="0" w:noVBand="1"/>
      </w:tblPr>
      <w:tblGrid>
        <w:gridCol w:w="3912"/>
        <w:gridCol w:w="2268"/>
        <w:gridCol w:w="2410"/>
        <w:gridCol w:w="2891"/>
        <w:gridCol w:w="2693"/>
      </w:tblGrid>
      <w:tr w:rsidR="00DC519F" w:rsidRPr="00B70107" w14:paraId="5FAA00FF" w14:textId="77777777" w:rsidTr="001A01DC">
        <w:tc>
          <w:tcPr>
            <w:tcW w:w="3912" w:type="dxa"/>
          </w:tcPr>
          <w:p w14:paraId="7210683D" w14:textId="77777777" w:rsidR="00DC519F" w:rsidRPr="00B70107" w:rsidRDefault="00DC519F" w:rsidP="001A01DC">
            <w:pPr>
              <w:jc w:val="center"/>
              <w:rPr>
                <w:b/>
              </w:rPr>
            </w:pPr>
            <w:r w:rsidRPr="00B70107">
              <w:rPr>
                <w:b/>
              </w:rPr>
              <w:t xml:space="preserve">Survey name, year data collected, name of the report and year report published and link(s) to the document/survey </w:t>
            </w:r>
          </w:p>
        </w:tc>
        <w:tc>
          <w:tcPr>
            <w:tcW w:w="2268" w:type="dxa"/>
          </w:tcPr>
          <w:p w14:paraId="7A7BE517" w14:textId="77777777" w:rsidR="00DC519F" w:rsidRPr="00B70107" w:rsidRDefault="00DC519F" w:rsidP="001A01DC">
            <w:pPr>
              <w:jc w:val="center"/>
              <w:rPr>
                <w:b/>
              </w:rPr>
            </w:pPr>
            <w:r w:rsidRPr="00B70107">
              <w:rPr>
                <w:b/>
              </w:rPr>
              <w:t xml:space="preserve">Details of participants </w:t>
            </w:r>
          </w:p>
        </w:tc>
        <w:tc>
          <w:tcPr>
            <w:tcW w:w="2410" w:type="dxa"/>
          </w:tcPr>
          <w:p w14:paraId="7E10AA26" w14:textId="77777777" w:rsidR="00DC519F" w:rsidRPr="00B70107" w:rsidRDefault="00DC519F" w:rsidP="001A01DC">
            <w:pPr>
              <w:jc w:val="center"/>
              <w:rPr>
                <w:b/>
              </w:rPr>
            </w:pPr>
            <w:r w:rsidRPr="00B70107">
              <w:rPr>
                <w:b/>
              </w:rPr>
              <w:t xml:space="preserve">Method of measurement (including the questions asked in the survey to measure the indicator) </w:t>
            </w:r>
          </w:p>
        </w:tc>
        <w:tc>
          <w:tcPr>
            <w:tcW w:w="2891" w:type="dxa"/>
          </w:tcPr>
          <w:p w14:paraId="605C6B50" w14:textId="77777777" w:rsidR="00DC519F" w:rsidRPr="00B70107" w:rsidRDefault="00DC519F" w:rsidP="001A01DC">
            <w:pPr>
              <w:jc w:val="center"/>
              <w:rPr>
                <w:b/>
              </w:rPr>
            </w:pPr>
            <w:r w:rsidRPr="00B70107">
              <w:rPr>
                <w:b/>
              </w:rPr>
              <w:t xml:space="preserve">Findings </w:t>
            </w:r>
          </w:p>
        </w:tc>
        <w:tc>
          <w:tcPr>
            <w:tcW w:w="2693" w:type="dxa"/>
          </w:tcPr>
          <w:p w14:paraId="548DD179" w14:textId="77777777" w:rsidR="00DC519F" w:rsidRPr="00B70107" w:rsidRDefault="00DC519F" w:rsidP="001A01DC">
            <w:pPr>
              <w:jc w:val="center"/>
              <w:rPr>
                <w:b/>
              </w:rPr>
            </w:pPr>
            <w:r w:rsidRPr="00B70107">
              <w:rPr>
                <w:b/>
              </w:rPr>
              <w:t xml:space="preserve">Additional comments </w:t>
            </w:r>
          </w:p>
        </w:tc>
      </w:tr>
      <w:tr w:rsidR="00DC519F" w:rsidRPr="00B70107" w14:paraId="2153C24C" w14:textId="77777777" w:rsidTr="001A01DC">
        <w:tc>
          <w:tcPr>
            <w:tcW w:w="3912" w:type="dxa"/>
          </w:tcPr>
          <w:p w14:paraId="17F52203" w14:textId="77777777" w:rsidR="00DC519F" w:rsidRPr="00B70107" w:rsidRDefault="00DC519F" w:rsidP="001A01DC">
            <w:r w:rsidRPr="00B70107">
              <w:rPr>
                <w:b/>
              </w:rPr>
              <w:t>Survey:</w:t>
            </w:r>
            <w:r w:rsidRPr="00B70107">
              <w:t xml:space="preserve"> Scottish Health Survey (SHeS) 2019 (Published Sept 2020)</w:t>
            </w:r>
          </w:p>
          <w:p w14:paraId="32268BBB" w14:textId="77777777" w:rsidR="00DC519F" w:rsidRPr="00B70107" w:rsidRDefault="00DC519F" w:rsidP="001A01DC">
            <w:pPr>
              <w:rPr>
                <w:b/>
              </w:rPr>
            </w:pPr>
            <w:r w:rsidRPr="00B70107">
              <w:rPr>
                <w:b/>
              </w:rPr>
              <w:t xml:space="preserve">Publication: </w:t>
            </w:r>
            <w:r w:rsidRPr="00B70107">
              <w:t>The Scottish Health Survey 2019: Volume 1: Main Report (published Sep 2020)</w:t>
            </w:r>
            <w:r w:rsidRPr="00B70107">
              <w:rPr>
                <w:b/>
              </w:rPr>
              <w:t xml:space="preserve"> </w:t>
            </w:r>
          </w:p>
          <w:p w14:paraId="0BCB5915" w14:textId="77777777" w:rsidR="00DC519F" w:rsidRPr="00B70107" w:rsidRDefault="00F1041F" w:rsidP="001A01DC">
            <w:pPr>
              <w:rPr>
                <w:b/>
              </w:rPr>
            </w:pPr>
            <w:hyperlink r:id="rId39" w:history="1">
              <w:r w:rsidR="00DC519F" w:rsidRPr="00B70107">
                <w:rPr>
                  <w:rStyle w:val="Hyperlink"/>
                  <w:rFonts w:asciiTheme="majorHAnsi" w:hAnsiTheme="majorHAnsi" w:cstheme="majorHAnsi"/>
                  <w:b/>
                  <w:color w:val="auto"/>
                  <w:sz w:val="20"/>
                  <w:szCs w:val="20"/>
                </w:rPr>
                <w:t>https://www.gov.scot/binaries/content/documents/govscot/publications/statistics/2020/09/scottish-health-survey-2019-volume-1-main-report/documents/scottish-health-survey-2019-edition-volume-1-main-report/scottish-health-survey-2019-edition-volume-1-main-report/govscot%3Adocument/scottish-health-survey-2019-edition-volume-1-main-report.pdf?forceDownload=true</w:t>
              </w:r>
            </w:hyperlink>
          </w:p>
          <w:p w14:paraId="13252D6F" w14:textId="77777777" w:rsidR="00DC519F" w:rsidRPr="00B70107" w:rsidRDefault="00DC519F" w:rsidP="001A01DC">
            <w:pPr>
              <w:rPr>
                <w:b/>
              </w:rPr>
            </w:pPr>
          </w:p>
          <w:p w14:paraId="144CB4A6" w14:textId="77777777" w:rsidR="00DC519F" w:rsidRPr="00B70107" w:rsidRDefault="00DC519F" w:rsidP="001A01DC">
            <w:pPr>
              <w:rPr>
                <w:rStyle w:val="Hyperlink"/>
                <w:rFonts w:asciiTheme="majorHAnsi" w:hAnsiTheme="majorHAnsi" w:cstheme="majorHAnsi"/>
                <w:color w:val="auto"/>
                <w:sz w:val="20"/>
                <w:szCs w:val="20"/>
              </w:rPr>
            </w:pPr>
            <w:r w:rsidRPr="00B70107">
              <w:rPr>
                <w:rStyle w:val="Hyperlink"/>
                <w:rFonts w:asciiTheme="majorHAnsi" w:hAnsiTheme="majorHAnsi" w:cstheme="majorHAnsi"/>
                <w:color w:val="auto"/>
                <w:sz w:val="20"/>
                <w:szCs w:val="20"/>
              </w:rPr>
              <w:t xml:space="preserve">Further data are available in supplementary web tables </w:t>
            </w:r>
          </w:p>
          <w:p w14:paraId="5DBAF60E" w14:textId="77777777" w:rsidR="00DC519F" w:rsidRPr="00B70107" w:rsidRDefault="00F1041F" w:rsidP="001A01DC">
            <w:pPr>
              <w:rPr>
                <w:rStyle w:val="Hyperlink"/>
                <w:rFonts w:asciiTheme="majorHAnsi" w:hAnsiTheme="majorHAnsi" w:cstheme="majorHAnsi"/>
                <w:color w:val="auto"/>
                <w:sz w:val="20"/>
                <w:szCs w:val="20"/>
              </w:rPr>
            </w:pPr>
            <w:hyperlink r:id="rId40" w:history="1">
              <w:r w:rsidR="00DC519F" w:rsidRPr="00B70107">
                <w:rPr>
                  <w:rStyle w:val="Hyperlink"/>
                  <w:rFonts w:asciiTheme="majorHAnsi" w:hAnsiTheme="majorHAnsi" w:cstheme="majorHAnsi"/>
                  <w:color w:val="auto"/>
                  <w:sz w:val="20"/>
                  <w:szCs w:val="20"/>
                </w:rPr>
                <w:t>https://www.gov.scot/publications/scottish-health-survey-2019-supplementary-tables/</w:t>
              </w:r>
            </w:hyperlink>
          </w:p>
          <w:p w14:paraId="687E684D" w14:textId="77777777" w:rsidR="00DC519F" w:rsidRPr="00B70107" w:rsidRDefault="00DC519F" w:rsidP="001A01DC"/>
          <w:p w14:paraId="54743D6B" w14:textId="77777777" w:rsidR="00DC519F" w:rsidRPr="00B70107" w:rsidRDefault="00DC519F" w:rsidP="001A01DC">
            <w:r w:rsidRPr="00B70107">
              <w:t xml:space="preserve">Technical report provides info on data collected and the questionnaires used in the survey </w:t>
            </w:r>
          </w:p>
          <w:p w14:paraId="0A651DD9" w14:textId="77777777" w:rsidR="00DC519F" w:rsidRPr="00B70107" w:rsidRDefault="00F1041F" w:rsidP="001A01DC">
            <w:pPr>
              <w:rPr>
                <w:b/>
              </w:rPr>
            </w:pPr>
            <w:hyperlink r:id="rId41" w:history="1">
              <w:r w:rsidR="00DC519F" w:rsidRPr="00B70107">
                <w:rPr>
                  <w:rStyle w:val="Hyperlink"/>
                  <w:rFonts w:asciiTheme="majorHAnsi" w:hAnsiTheme="majorHAnsi" w:cstheme="majorHAnsi"/>
                  <w:color w:val="auto"/>
                  <w:sz w:val="20"/>
                  <w:szCs w:val="20"/>
                </w:rPr>
                <w:t>https://www.gov.scot/publications/scottish-health-survey-2019-volume-2-technical-report/</w:t>
              </w:r>
            </w:hyperlink>
          </w:p>
        </w:tc>
        <w:tc>
          <w:tcPr>
            <w:tcW w:w="2268" w:type="dxa"/>
          </w:tcPr>
          <w:p w14:paraId="6436B77E" w14:textId="77777777" w:rsidR="00DC519F" w:rsidRPr="00B70107" w:rsidRDefault="00DC519F" w:rsidP="001A01DC">
            <w:pPr>
              <w:rPr>
                <w:rFonts w:asciiTheme="majorHAnsi" w:hAnsiTheme="majorHAnsi" w:cstheme="majorHAnsi"/>
                <w:sz w:val="20"/>
                <w:szCs w:val="20"/>
              </w:rPr>
            </w:pPr>
            <w:r w:rsidRPr="00B70107">
              <w:rPr>
                <w:rFonts w:asciiTheme="majorHAnsi" w:hAnsiTheme="majorHAnsi" w:cstheme="majorHAnsi"/>
                <w:sz w:val="20"/>
                <w:szCs w:val="20"/>
              </w:rPr>
              <w:t xml:space="preserve">Nationally representative sample of 1,978 children (2-15yrs). </w:t>
            </w:r>
          </w:p>
          <w:p w14:paraId="222A3651"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  </w:t>
            </w:r>
          </w:p>
        </w:tc>
        <w:tc>
          <w:tcPr>
            <w:tcW w:w="2410" w:type="dxa"/>
          </w:tcPr>
          <w:p w14:paraId="48727739" w14:textId="77777777" w:rsidR="00DC519F" w:rsidRPr="00B70107" w:rsidRDefault="00DC519F" w:rsidP="001A01DC">
            <w:pPr>
              <w:rPr>
                <w:rFonts w:asciiTheme="majorHAnsi" w:hAnsiTheme="majorHAnsi" w:cstheme="majorHAnsi"/>
                <w:bCs/>
                <w:sz w:val="20"/>
                <w:szCs w:val="20"/>
              </w:rPr>
            </w:pPr>
            <w:r w:rsidRPr="00B70107">
              <w:rPr>
                <w:rFonts w:asciiTheme="majorHAnsi" w:hAnsiTheme="majorHAnsi" w:cstheme="majorHAnsi"/>
                <w:bCs/>
                <w:sz w:val="20"/>
                <w:szCs w:val="20"/>
              </w:rPr>
              <w:t xml:space="preserve">Height, weight, waist circumference, BMI under UK 1990 reference standards. </w:t>
            </w:r>
          </w:p>
          <w:p w14:paraId="6A54AF94" w14:textId="77777777" w:rsidR="00DC519F" w:rsidRPr="00B70107" w:rsidRDefault="00DC519F" w:rsidP="001A01DC">
            <w:pPr>
              <w:rPr>
                <w:rFonts w:asciiTheme="majorHAnsi" w:hAnsiTheme="majorHAnsi" w:cstheme="majorHAnsi"/>
                <w:bCs/>
                <w:sz w:val="20"/>
                <w:szCs w:val="20"/>
              </w:rPr>
            </w:pPr>
          </w:p>
          <w:p w14:paraId="4DE0B3DB" w14:textId="77777777" w:rsidR="00DC519F" w:rsidRPr="00B70107" w:rsidRDefault="00DC519F" w:rsidP="001A01DC">
            <w:pPr>
              <w:rPr>
                <w:rFonts w:asciiTheme="majorHAnsi" w:hAnsiTheme="majorHAnsi" w:cstheme="majorHAnsi"/>
                <w:sz w:val="20"/>
                <w:szCs w:val="20"/>
              </w:rPr>
            </w:pPr>
            <w:r w:rsidRPr="00B70107">
              <w:rPr>
                <w:rFonts w:asciiTheme="majorHAnsi" w:hAnsiTheme="majorHAnsi" w:cstheme="majorHAnsi"/>
                <w:sz w:val="20"/>
                <w:szCs w:val="20"/>
              </w:rPr>
              <w:t>Percentile cut-offs: At or below 2nd percentile: At risk of underweight, Above 2nd percentile and below 85th percentile: Healthy weight, At or above 85th percentile and below 95th percentile: At risk of overweight, At or above 95th percentile: At risk of obesity</w:t>
            </w:r>
          </w:p>
          <w:p w14:paraId="4060B266" w14:textId="77777777" w:rsidR="00DC519F" w:rsidRPr="00B70107" w:rsidRDefault="00DC519F" w:rsidP="001A01DC">
            <w:pPr>
              <w:rPr>
                <w:rFonts w:asciiTheme="majorHAnsi" w:hAnsiTheme="majorHAnsi" w:cstheme="majorHAnsi"/>
                <w:sz w:val="20"/>
                <w:szCs w:val="20"/>
              </w:rPr>
            </w:pPr>
          </w:p>
          <w:p w14:paraId="58A8C4BA" w14:textId="77777777" w:rsidR="00DC519F" w:rsidRPr="00B70107" w:rsidRDefault="00DC519F" w:rsidP="001A01DC">
            <w:pPr>
              <w:rPr>
                <w:rFonts w:asciiTheme="majorHAnsi" w:hAnsiTheme="majorHAnsi" w:cstheme="majorHAnsi"/>
                <w:sz w:val="20"/>
                <w:szCs w:val="20"/>
              </w:rPr>
            </w:pPr>
            <w:r w:rsidRPr="00B70107">
              <w:rPr>
                <w:rFonts w:asciiTheme="majorHAnsi" w:hAnsiTheme="majorHAnsi" w:cstheme="majorHAnsi"/>
                <w:bCs/>
                <w:sz w:val="20"/>
                <w:szCs w:val="20"/>
              </w:rPr>
              <w:t>SIMD 2020 quintiles were used</w:t>
            </w:r>
          </w:p>
          <w:p w14:paraId="5D8FECF5" w14:textId="77777777" w:rsidR="00DC519F" w:rsidRPr="00B70107" w:rsidRDefault="00DC519F" w:rsidP="001A01DC">
            <w:pPr>
              <w:rPr>
                <w:rFonts w:asciiTheme="majorHAnsi" w:hAnsiTheme="majorHAnsi" w:cstheme="majorHAnsi"/>
                <w:bCs/>
                <w:sz w:val="20"/>
                <w:szCs w:val="20"/>
              </w:rPr>
            </w:pPr>
          </w:p>
          <w:p w14:paraId="75826797" w14:textId="77777777" w:rsidR="00DC519F" w:rsidRPr="00B70107" w:rsidRDefault="00DC519F" w:rsidP="001A01DC">
            <w:pPr>
              <w:rPr>
                <w:rFonts w:asciiTheme="majorHAnsi" w:hAnsiTheme="majorHAnsi" w:cstheme="majorHAnsi"/>
                <w:bCs/>
                <w:sz w:val="20"/>
                <w:szCs w:val="20"/>
              </w:rPr>
            </w:pPr>
          </w:p>
          <w:p w14:paraId="26CCFDF9" w14:textId="77777777" w:rsidR="00DC519F" w:rsidRPr="00B70107" w:rsidRDefault="00DC519F" w:rsidP="001A01DC">
            <w:pPr>
              <w:rPr>
                <w:rFonts w:asciiTheme="majorHAnsi" w:hAnsiTheme="majorHAnsi" w:cstheme="majorHAnsi"/>
                <w:b/>
                <w:sz w:val="20"/>
                <w:szCs w:val="20"/>
              </w:rPr>
            </w:pPr>
          </w:p>
        </w:tc>
        <w:tc>
          <w:tcPr>
            <w:tcW w:w="2891" w:type="dxa"/>
          </w:tcPr>
          <w:p w14:paraId="21380583" w14:textId="77777777" w:rsidR="00DC519F" w:rsidRPr="00B70107" w:rsidRDefault="00DC519F" w:rsidP="001A01DC">
            <w:pPr>
              <w:autoSpaceDE w:val="0"/>
              <w:autoSpaceDN w:val="0"/>
              <w:adjustRightInd w:val="0"/>
              <w:rPr>
                <w:rFonts w:cstheme="minorHAnsi"/>
                <w:sz w:val="20"/>
                <w:szCs w:val="20"/>
              </w:rPr>
            </w:pPr>
            <w:r w:rsidRPr="00B70107">
              <w:rPr>
                <w:rFonts w:cstheme="minorHAnsi"/>
                <w:b/>
                <w:sz w:val="20"/>
                <w:szCs w:val="20"/>
              </w:rPr>
              <w:t>Summary:</w:t>
            </w:r>
            <w:r w:rsidRPr="00B70107">
              <w:rPr>
                <w:rFonts w:cstheme="minorHAnsi"/>
                <w:sz w:val="20"/>
                <w:szCs w:val="20"/>
              </w:rPr>
              <w:t xml:space="preserve"> Among 2-15 year olds, 30% were at risk of overweight incl obesity (16% were at risk of obesity). 32% of boys and 28% of girls were at risk of overweight incl obesity (17% of boys and 15% of girls were at risk of obesity). </w:t>
            </w:r>
          </w:p>
          <w:p w14:paraId="7D383413" w14:textId="77777777" w:rsidR="00DC519F" w:rsidRPr="00B70107" w:rsidRDefault="00DC519F" w:rsidP="001A01DC">
            <w:pPr>
              <w:autoSpaceDE w:val="0"/>
              <w:autoSpaceDN w:val="0"/>
              <w:adjustRightInd w:val="0"/>
              <w:rPr>
                <w:rFonts w:asciiTheme="majorHAnsi" w:hAnsiTheme="majorHAnsi" w:cstheme="majorHAnsi"/>
                <w:b/>
                <w:bCs/>
                <w:i/>
                <w:iCs/>
                <w:sz w:val="20"/>
                <w:szCs w:val="20"/>
              </w:rPr>
            </w:pPr>
          </w:p>
          <w:p w14:paraId="7032B3A9" w14:textId="1217186F" w:rsidR="00DC519F" w:rsidRPr="00B70107" w:rsidRDefault="00DC519F" w:rsidP="001A01DC">
            <w:pPr>
              <w:autoSpaceDE w:val="0"/>
              <w:autoSpaceDN w:val="0"/>
              <w:adjustRightInd w:val="0"/>
              <w:rPr>
                <w:rFonts w:asciiTheme="majorHAnsi" w:eastAsia="Times New Roman" w:hAnsiTheme="majorHAnsi" w:cstheme="majorHAnsi"/>
                <w:sz w:val="20"/>
                <w:szCs w:val="20"/>
                <w:lang w:eastAsia="en-GB"/>
              </w:rPr>
            </w:pPr>
            <w:r w:rsidRPr="00B70107">
              <w:rPr>
                <w:rFonts w:asciiTheme="majorHAnsi" w:hAnsiTheme="majorHAnsi" w:cstheme="majorHAnsi"/>
                <w:b/>
                <w:bCs/>
                <w:i/>
                <w:iCs/>
                <w:sz w:val="20"/>
                <w:szCs w:val="20"/>
              </w:rPr>
              <w:t>% children at risk of overweight or obese (&gt;=</w:t>
            </w:r>
            <w:r w:rsidR="00510731" w:rsidRPr="00B70107">
              <w:rPr>
                <w:rFonts w:asciiTheme="majorHAnsi" w:hAnsiTheme="majorHAnsi" w:cstheme="majorHAnsi"/>
                <w:b/>
                <w:bCs/>
                <w:i/>
                <w:iCs/>
                <w:sz w:val="20"/>
                <w:szCs w:val="20"/>
              </w:rPr>
              <w:t>85</w:t>
            </w:r>
            <w:r w:rsidR="00510731" w:rsidRPr="00B70107">
              <w:rPr>
                <w:rFonts w:asciiTheme="majorHAnsi" w:hAnsiTheme="majorHAnsi" w:cstheme="majorHAnsi"/>
                <w:b/>
                <w:bCs/>
                <w:i/>
                <w:iCs/>
                <w:sz w:val="20"/>
                <w:szCs w:val="20"/>
                <w:vertAlign w:val="superscript"/>
              </w:rPr>
              <w:t>th</w:t>
            </w:r>
            <w:r w:rsidR="00510731" w:rsidRPr="00B70107">
              <w:rPr>
                <w:rFonts w:asciiTheme="majorHAnsi" w:hAnsiTheme="majorHAnsi" w:cstheme="majorHAnsi"/>
                <w:b/>
                <w:bCs/>
                <w:i/>
                <w:iCs/>
                <w:sz w:val="20"/>
                <w:szCs w:val="20"/>
              </w:rPr>
              <w:t xml:space="preserve"> </w:t>
            </w:r>
            <w:r w:rsidRPr="00B70107">
              <w:rPr>
                <w:rFonts w:asciiTheme="majorHAnsi" w:hAnsiTheme="majorHAnsi" w:cstheme="majorHAnsi"/>
                <w:b/>
                <w:bCs/>
                <w:i/>
                <w:iCs/>
                <w:sz w:val="20"/>
                <w:szCs w:val="20"/>
              </w:rPr>
              <w:t>percentile) by SIMD</w:t>
            </w:r>
          </w:p>
          <w:p w14:paraId="642356D9"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least:  23% (M 29%, F 15%) </w:t>
            </w:r>
          </w:p>
          <w:p w14:paraId="3AC7B7CC"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4th:  24% (M 24%, F 25%) </w:t>
            </w:r>
          </w:p>
          <w:p w14:paraId="1AE2D558"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3rd:  27% (M 28%, F 27%) </w:t>
            </w:r>
          </w:p>
          <w:p w14:paraId="0B1F4858"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2nd:  42% (M 44%, F 41%) </w:t>
            </w:r>
          </w:p>
          <w:p w14:paraId="4A27145C"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most:  35% (M 36%, F 34%) </w:t>
            </w:r>
          </w:p>
          <w:p w14:paraId="5844F6B2" w14:textId="77777777" w:rsidR="00DC519F" w:rsidRPr="00B70107" w:rsidRDefault="00DC519F" w:rsidP="001A01DC">
            <w:pPr>
              <w:autoSpaceDE w:val="0"/>
              <w:autoSpaceDN w:val="0"/>
              <w:adjustRightInd w:val="0"/>
              <w:rPr>
                <w:rFonts w:asciiTheme="majorHAnsi" w:hAnsiTheme="majorHAnsi" w:cstheme="majorHAnsi"/>
                <w:sz w:val="20"/>
                <w:szCs w:val="20"/>
              </w:rPr>
            </w:pPr>
          </w:p>
          <w:p w14:paraId="68B8EC5E" w14:textId="5C5F0197" w:rsidR="00DC519F" w:rsidRPr="00B70107" w:rsidRDefault="00DC519F" w:rsidP="001A01DC">
            <w:pPr>
              <w:pStyle w:val="Default"/>
              <w:rPr>
                <w:rFonts w:asciiTheme="majorHAnsi" w:hAnsiTheme="majorHAnsi" w:cstheme="majorHAnsi"/>
                <w:b/>
                <w:bCs/>
                <w:i/>
                <w:iCs/>
                <w:color w:val="auto"/>
                <w:sz w:val="20"/>
                <w:szCs w:val="20"/>
              </w:rPr>
            </w:pPr>
            <w:r w:rsidRPr="00B70107">
              <w:rPr>
                <w:rFonts w:asciiTheme="majorHAnsi" w:hAnsiTheme="majorHAnsi" w:cstheme="majorHAnsi"/>
                <w:b/>
                <w:bCs/>
                <w:i/>
                <w:iCs/>
                <w:color w:val="auto"/>
                <w:sz w:val="20"/>
                <w:szCs w:val="20"/>
              </w:rPr>
              <w:t>% children at risk of overweight or obese (&gt;=</w:t>
            </w:r>
            <w:r w:rsidR="00510731" w:rsidRPr="00B70107">
              <w:rPr>
                <w:rFonts w:asciiTheme="majorHAnsi" w:hAnsiTheme="majorHAnsi" w:cstheme="majorHAnsi"/>
                <w:b/>
                <w:bCs/>
                <w:i/>
                <w:iCs/>
                <w:color w:val="auto"/>
                <w:sz w:val="20"/>
                <w:szCs w:val="20"/>
              </w:rPr>
              <w:t>85</w:t>
            </w:r>
            <w:r w:rsidR="00510731" w:rsidRPr="00B70107">
              <w:rPr>
                <w:rFonts w:asciiTheme="majorHAnsi" w:hAnsiTheme="majorHAnsi" w:cstheme="majorHAnsi"/>
                <w:b/>
                <w:bCs/>
                <w:i/>
                <w:iCs/>
                <w:color w:val="auto"/>
                <w:sz w:val="20"/>
                <w:szCs w:val="20"/>
                <w:vertAlign w:val="superscript"/>
              </w:rPr>
              <w:t>th</w:t>
            </w:r>
            <w:r w:rsidR="00510731" w:rsidRPr="00B70107">
              <w:rPr>
                <w:rFonts w:asciiTheme="majorHAnsi" w:hAnsiTheme="majorHAnsi" w:cstheme="majorHAnsi"/>
                <w:b/>
                <w:bCs/>
                <w:i/>
                <w:iCs/>
                <w:color w:val="auto"/>
                <w:sz w:val="20"/>
                <w:szCs w:val="20"/>
              </w:rPr>
              <w:t xml:space="preserve"> </w:t>
            </w:r>
            <w:r w:rsidRPr="00B70107">
              <w:rPr>
                <w:rFonts w:asciiTheme="majorHAnsi" w:hAnsiTheme="majorHAnsi" w:cstheme="majorHAnsi"/>
                <w:b/>
                <w:bCs/>
                <w:i/>
                <w:iCs/>
                <w:color w:val="auto"/>
                <w:sz w:val="20"/>
                <w:szCs w:val="20"/>
              </w:rPr>
              <w:t>percentile) by age</w:t>
            </w:r>
          </w:p>
          <w:p w14:paraId="1950CCF5"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Age 2-6: 30% (M 33%, F 28%)</w:t>
            </w:r>
          </w:p>
          <w:p w14:paraId="4BD3A1AE"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Age 7-11: 25% (M 29%, F 20%)</w:t>
            </w:r>
          </w:p>
          <w:p w14:paraId="10EE5F6A"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Age 12-15: 37% (M 34%, F 39%)</w:t>
            </w:r>
          </w:p>
          <w:p w14:paraId="23CF18C3"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Total: 30% (M 32%, F 28%)</w:t>
            </w:r>
          </w:p>
          <w:p w14:paraId="5AF5AD9B" w14:textId="77777777" w:rsidR="00DC519F" w:rsidRPr="00B70107" w:rsidRDefault="00DC519F" w:rsidP="001A01DC">
            <w:pPr>
              <w:autoSpaceDE w:val="0"/>
              <w:autoSpaceDN w:val="0"/>
              <w:adjustRightInd w:val="0"/>
              <w:rPr>
                <w:rFonts w:asciiTheme="majorHAnsi" w:hAnsiTheme="majorHAnsi" w:cstheme="majorHAnsi"/>
                <w:sz w:val="20"/>
                <w:szCs w:val="20"/>
              </w:rPr>
            </w:pPr>
          </w:p>
          <w:p w14:paraId="1E11F910"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b/>
                <w:sz w:val="20"/>
                <w:szCs w:val="20"/>
              </w:rPr>
              <w:t>Summary:</w:t>
            </w:r>
            <w:r w:rsidRPr="00B70107">
              <w:rPr>
                <w:rFonts w:asciiTheme="majorHAnsi" w:hAnsiTheme="majorHAnsi" w:cstheme="majorHAnsi"/>
                <w:sz w:val="20"/>
                <w:szCs w:val="20"/>
              </w:rPr>
              <w:t xml:space="preserve"> Obesity was associated with SIMD as those from a more deprived background were at a higher risk of overweight/obesity. As reported in the 2016 SHeS from the previous AHKRC, those in the 2</w:t>
            </w:r>
            <w:r w:rsidRPr="00B70107">
              <w:rPr>
                <w:rFonts w:asciiTheme="majorHAnsi" w:hAnsiTheme="majorHAnsi" w:cstheme="majorHAnsi"/>
                <w:sz w:val="20"/>
                <w:szCs w:val="20"/>
                <w:vertAlign w:val="superscript"/>
              </w:rPr>
              <w:t>nd</w:t>
            </w:r>
            <w:r w:rsidRPr="00B70107">
              <w:rPr>
                <w:rFonts w:asciiTheme="majorHAnsi" w:hAnsiTheme="majorHAnsi" w:cstheme="majorHAnsi"/>
                <w:sz w:val="20"/>
                <w:szCs w:val="20"/>
              </w:rPr>
              <w:t xml:space="preserve"> most deprived area were at the most risk of overweight/obesity. Boys were reported to be at a higher risk of overweight/obesity than girls.</w:t>
            </w:r>
          </w:p>
          <w:p w14:paraId="59129253" w14:textId="43CCD958"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Risk of overweight/obesity increased with decreasing quintile of equivalised income. </w:t>
            </w:r>
          </w:p>
          <w:p w14:paraId="38845D95" w14:textId="77777777" w:rsidR="00DC519F" w:rsidRPr="00B70107" w:rsidRDefault="00DC519F" w:rsidP="001A01DC">
            <w:pPr>
              <w:autoSpaceDE w:val="0"/>
              <w:autoSpaceDN w:val="0"/>
              <w:adjustRightInd w:val="0"/>
              <w:rPr>
                <w:rFonts w:asciiTheme="majorHAnsi" w:hAnsiTheme="majorHAnsi" w:cstheme="majorHAnsi"/>
                <w:sz w:val="20"/>
                <w:szCs w:val="20"/>
              </w:rPr>
            </w:pPr>
          </w:p>
        </w:tc>
        <w:tc>
          <w:tcPr>
            <w:tcW w:w="2693" w:type="dxa"/>
          </w:tcPr>
          <w:p w14:paraId="4906F864" w14:textId="19F5668A" w:rsidR="00DC519F" w:rsidRPr="00B70107" w:rsidRDefault="00DC519F" w:rsidP="001A01DC">
            <w:pPr>
              <w:tabs>
                <w:tab w:val="num" w:pos="720"/>
              </w:tabs>
              <w:autoSpaceDE w:val="0"/>
              <w:autoSpaceDN w:val="0"/>
              <w:adjustRightInd w:val="0"/>
              <w:rPr>
                <w:rFonts w:asciiTheme="majorHAnsi" w:hAnsiTheme="majorHAnsi" w:cstheme="majorHAnsi"/>
                <w:bCs/>
                <w:sz w:val="20"/>
                <w:szCs w:val="20"/>
              </w:rPr>
            </w:pPr>
            <w:r w:rsidRPr="00B70107">
              <w:rPr>
                <w:rFonts w:asciiTheme="majorHAnsi" w:hAnsiTheme="majorHAnsi" w:cstheme="majorHAnsi"/>
                <w:bCs/>
                <w:sz w:val="20"/>
                <w:szCs w:val="20"/>
              </w:rPr>
              <w:t>&gt;=</w:t>
            </w:r>
            <w:r w:rsidR="00510731" w:rsidRPr="00B70107">
              <w:rPr>
                <w:rFonts w:asciiTheme="majorHAnsi" w:hAnsiTheme="majorHAnsi" w:cstheme="majorHAnsi"/>
                <w:bCs/>
                <w:sz w:val="20"/>
                <w:szCs w:val="20"/>
              </w:rPr>
              <w:t>85</w:t>
            </w:r>
            <w:r w:rsidR="00510731" w:rsidRPr="00B70107">
              <w:rPr>
                <w:rFonts w:asciiTheme="majorHAnsi" w:hAnsiTheme="majorHAnsi" w:cstheme="majorHAnsi"/>
                <w:bCs/>
                <w:sz w:val="20"/>
                <w:szCs w:val="20"/>
                <w:vertAlign w:val="superscript"/>
              </w:rPr>
              <w:t>th</w:t>
            </w:r>
            <w:r w:rsidR="00510731" w:rsidRPr="00B70107">
              <w:rPr>
                <w:rFonts w:asciiTheme="majorHAnsi" w:hAnsiTheme="majorHAnsi" w:cstheme="majorHAnsi"/>
                <w:bCs/>
                <w:sz w:val="20"/>
                <w:szCs w:val="20"/>
              </w:rPr>
              <w:t xml:space="preserve"> </w:t>
            </w:r>
            <w:r w:rsidRPr="00B70107">
              <w:rPr>
                <w:rFonts w:asciiTheme="majorHAnsi" w:hAnsiTheme="majorHAnsi" w:cstheme="majorHAnsi"/>
                <w:bCs/>
                <w:sz w:val="20"/>
                <w:szCs w:val="20"/>
              </w:rPr>
              <w:t>percentile was used to indicate overweight/obesity risk.</w:t>
            </w:r>
          </w:p>
          <w:p w14:paraId="2B73F74F" w14:textId="77777777" w:rsidR="00DC519F" w:rsidRPr="00B70107" w:rsidRDefault="00DC519F" w:rsidP="001A01DC">
            <w:pPr>
              <w:tabs>
                <w:tab w:val="num" w:pos="720"/>
              </w:tabs>
              <w:autoSpaceDE w:val="0"/>
              <w:autoSpaceDN w:val="0"/>
              <w:adjustRightInd w:val="0"/>
              <w:rPr>
                <w:rFonts w:asciiTheme="majorHAnsi" w:hAnsiTheme="majorHAnsi" w:cstheme="majorHAnsi"/>
                <w:bCs/>
                <w:sz w:val="20"/>
                <w:szCs w:val="20"/>
              </w:rPr>
            </w:pPr>
          </w:p>
          <w:p w14:paraId="1AE36985" w14:textId="77777777" w:rsidR="00DC519F" w:rsidRPr="00B70107" w:rsidRDefault="00DC519F" w:rsidP="001A01DC">
            <w:pPr>
              <w:tabs>
                <w:tab w:val="num" w:pos="720"/>
              </w:tabs>
              <w:autoSpaceDE w:val="0"/>
              <w:autoSpaceDN w:val="0"/>
              <w:adjustRightInd w:val="0"/>
              <w:rPr>
                <w:rFonts w:asciiTheme="majorHAnsi" w:hAnsiTheme="majorHAnsi" w:cstheme="majorHAnsi"/>
                <w:i/>
                <w:sz w:val="20"/>
                <w:szCs w:val="20"/>
              </w:rPr>
            </w:pPr>
          </w:p>
        </w:tc>
      </w:tr>
      <w:tr w:rsidR="00DC519F" w:rsidRPr="00B70107" w14:paraId="43805C0A" w14:textId="77777777" w:rsidTr="001A01DC">
        <w:tc>
          <w:tcPr>
            <w:tcW w:w="3912" w:type="dxa"/>
          </w:tcPr>
          <w:p w14:paraId="2551B32E" w14:textId="77777777" w:rsidR="00DC519F" w:rsidRPr="00B70107" w:rsidRDefault="00DC519F" w:rsidP="001A01DC">
            <w:pPr>
              <w:rPr>
                <w:b/>
                <w:bCs/>
              </w:rPr>
            </w:pPr>
            <w:r w:rsidRPr="00B70107">
              <w:t>Survey: Primary 1 Body Mass Index (BMI) statistics Scotland (2020)</w:t>
            </w:r>
          </w:p>
          <w:p w14:paraId="4A53AFD2" w14:textId="77777777" w:rsidR="00DC519F" w:rsidRPr="00B70107" w:rsidRDefault="00DC519F" w:rsidP="001A01DC">
            <w:pPr>
              <w:rPr>
                <w:b/>
                <w:bCs/>
                <w:lang w:val="fr-FR"/>
              </w:rPr>
            </w:pPr>
            <w:r w:rsidRPr="00B70107">
              <w:rPr>
                <w:lang w:val="fr-FR"/>
              </w:rPr>
              <w:t xml:space="preserve">Publication: </w:t>
            </w:r>
            <w:hyperlink r:id="rId42" w:history="1">
              <w:r w:rsidRPr="00B70107">
                <w:rPr>
                  <w:rStyle w:val="Hyperlink"/>
                  <w:rFonts w:asciiTheme="majorHAnsi" w:hAnsiTheme="majorHAnsi" w:cstheme="majorHAnsi"/>
                  <w:color w:val="auto"/>
                  <w:sz w:val="20"/>
                  <w:szCs w:val="20"/>
                  <w:lang w:val="fr-FR"/>
                </w:rPr>
                <w:t>https://beta.isdscotland.org/find-publications-and-data/population-health/child-health/primary-1-body-mass-index-bmi-statistics-scotland/</w:t>
              </w:r>
            </w:hyperlink>
            <w:r w:rsidRPr="00B70107">
              <w:rPr>
                <w:lang w:val="fr-FR"/>
              </w:rPr>
              <w:t xml:space="preserve"> </w:t>
            </w:r>
          </w:p>
          <w:p w14:paraId="078CE967" w14:textId="77777777" w:rsidR="00DC519F" w:rsidRPr="00B70107" w:rsidRDefault="00DC519F" w:rsidP="001A01DC">
            <w:pPr>
              <w:rPr>
                <w:b/>
                <w:bCs/>
              </w:rPr>
            </w:pPr>
            <w:r w:rsidRPr="00B70107">
              <w:t>Supplementary data tales can be found in the link provided above.</w:t>
            </w:r>
          </w:p>
          <w:p w14:paraId="43E2CD4A" w14:textId="77777777" w:rsidR="00DC519F" w:rsidRPr="00B70107" w:rsidRDefault="00DC519F" w:rsidP="001A01DC">
            <w:pPr>
              <w:rPr>
                <w:b/>
              </w:rPr>
            </w:pPr>
          </w:p>
        </w:tc>
        <w:tc>
          <w:tcPr>
            <w:tcW w:w="2268" w:type="dxa"/>
          </w:tcPr>
          <w:p w14:paraId="6EEA648D" w14:textId="77777777" w:rsidR="00DC519F" w:rsidRPr="00B70107" w:rsidRDefault="00DC519F" w:rsidP="001A01DC">
            <w:pPr>
              <w:rPr>
                <w:rFonts w:asciiTheme="majorHAnsi" w:hAnsiTheme="majorHAnsi" w:cstheme="majorHAnsi"/>
                <w:sz w:val="20"/>
                <w:szCs w:val="20"/>
              </w:rPr>
            </w:pPr>
            <w:r w:rsidRPr="00B70107">
              <w:rPr>
                <w:rFonts w:asciiTheme="majorHAnsi" w:hAnsiTheme="majorHAnsi" w:cstheme="majorHAnsi"/>
                <w:sz w:val="20"/>
                <w:szCs w:val="20"/>
              </w:rPr>
              <w:t>Only 41% of Primary 1 pupils (23,934) were assessed. The data collected is nationally representative of Scottish children.</w:t>
            </w:r>
          </w:p>
          <w:p w14:paraId="312058CE" w14:textId="77777777" w:rsidR="00DC519F" w:rsidRPr="00B70107" w:rsidDel="004E6523" w:rsidRDefault="00DC519F" w:rsidP="001A01DC">
            <w:pPr>
              <w:rPr>
                <w:rFonts w:asciiTheme="majorHAnsi" w:hAnsiTheme="majorHAnsi" w:cstheme="majorHAnsi"/>
                <w:sz w:val="20"/>
                <w:szCs w:val="20"/>
              </w:rPr>
            </w:pPr>
          </w:p>
        </w:tc>
        <w:tc>
          <w:tcPr>
            <w:tcW w:w="2410" w:type="dxa"/>
          </w:tcPr>
          <w:p w14:paraId="40FB99BF" w14:textId="77777777" w:rsidR="00DC519F" w:rsidRPr="00B70107" w:rsidRDefault="00DC519F" w:rsidP="001A01DC">
            <w:pPr>
              <w:rPr>
                <w:rFonts w:asciiTheme="majorHAnsi" w:hAnsiTheme="majorHAnsi" w:cstheme="majorHAnsi"/>
                <w:sz w:val="20"/>
                <w:szCs w:val="20"/>
              </w:rPr>
            </w:pPr>
            <w:r w:rsidRPr="00B70107">
              <w:rPr>
                <w:rFonts w:asciiTheme="majorHAnsi" w:hAnsiTheme="majorHAnsi" w:cstheme="majorHAnsi"/>
                <w:sz w:val="20"/>
                <w:szCs w:val="20"/>
              </w:rPr>
              <w:t xml:space="preserve">UK90 BMI. ≥ 85th percentile: overweight/obesity, ≥ 95th: obesity </w:t>
            </w:r>
          </w:p>
          <w:p w14:paraId="0F461619" w14:textId="77777777" w:rsidR="00DC519F" w:rsidRPr="00B70107" w:rsidRDefault="00DC519F" w:rsidP="001A01DC">
            <w:pPr>
              <w:rPr>
                <w:rFonts w:asciiTheme="majorHAnsi" w:hAnsiTheme="majorHAnsi" w:cstheme="majorHAnsi"/>
                <w:b/>
                <w:sz w:val="20"/>
                <w:szCs w:val="20"/>
              </w:rPr>
            </w:pPr>
          </w:p>
          <w:p w14:paraId="0ECA6B2B" w14:textId="77777777" w:rsidR="00DC519F" w:rsidRPr="00B70107" w:rsidDel="004E6523" w:rsidRDefault="00DC519F" w:rsidP="001A01DC">
            <w:pPr>
              <w:rPr>
                <w:rFonts w:asciiTheme="majorHAnsi" w:hAnsiTheme="majorHAnsi" w:cstheme="majorHAnsi"/>
                <w:b/>
                <w:sz w:val="20"/>
                <w:szCs w:val="20"/>
              </w:rPr>
            </w:pPr>
          </w:p>
        </w:tc>
        <w:tc>
          <w:tcPr>
            <w:tcW w:w="2891" w:type="dxa"/>
          </w:tcPr>
          <w:p w14:paraId="067DF8F0" w14:textId="77777777" w:rsidR="00DC519F" w:rsidRPr="00B70107" w:rsidRDefault="00DC519F" w:rsidP="001A01DC">
            <w:pPr>
              <w:autoSpaceDE w:val="0"/>
              <w:autoSpaceDN w:val="0"/>
              <w:adjustRightInd w:val="0"/>
              <w:rPr>
                <w:rFonts w:asciiTheme="majorHAnsi" w:hAnsiTheme="majorHAnsi" w:cstheme="majorHAnsi"/>
                <w:bCs/>
                <w:sz w:val="20"/>
                <w:szCs w:val="20"/>
              </w:rPr>
            </w:pPr>
            <w:r w:rsidRPr="00B70107">
              <w:rPr>
                <w:rFonts w:asciiTheme="majorHAnsi" w:hAnsiTheme="majorHAnsi" w:cstheme="majorHAnsi"/>
                <w:sz w:val="20"/>
                <w:szCs w:val="20"/>
              </w:rPr>
              <w:t>76.3% of Primary 1 children in 2019/20 had a BMI in the healthy weight range. 12.3% of children were at risk of overweight and 10.4% were at risk of obesity (22.8% at risk of overweight or obesity combined). Included in the 10.4% of children at risk of obesity were 2.8% of children at risk of severe obesity. 1% of children were at risk of underweight.</w:t>
            </w:r>
          </w:p>
          <w:p w14:paraId="29C3B806" w14:textId="77777777" w:rsidR="00DC519F" w:rsidRPr="00B70107" w:rsidRDefault="00DC519F" w:rsidP="001A01DC">
            <w:pPr>
              <w:autoSpaceDE w:val="0"/>
              <w:autoSpaceDN w:val="0"/>
              <w:adjustRightInd w:val="0"/>
              <w:rPr>
                <w:rFonts w:asciiTheme="majorHAnsi" w:hAnsiTheme="majorHAnsi" w:cstheme="majorHAnsi"/>
                <w:bCs/>
                <w:sz w:val="20"/>
                <w:szCs w:val="20"/>
              </w:rPr>
            </w:pPr>
          </w:p>
          <w:p w14:paraId="547797CB" w14:textId="77777777" w:rsidR="00DC519F" w:rsidRPr="00B70107" w:rsidRDefault="00DC519F" w:rsidP="001A01DC">
            <w:pPr>
              <w:pStyle w:val="Default"/>
              <w:rPr>
                <w:rFonts w:asciiTheme="majorHAnsi" w:hAnsiTheme="majorHAnsi" w:cstheme="majorHAnsi"/>
                <w:b/>
                <w:bCs/>
                <w:i/>
                <w:iCs/>
                <w:color w:val="auto"/>
                <w:sz w:val="20"/>
                <w:szCs w:val="20"/>
              </w:rPr>
            </w:pPr>
            <w:r w:rsidRPr="00B70107">
              <w:rPr>
                <w:rFonts w:asciiTheme="majorHAnsi" w:hAnsiTheme="majorHAnsi" w:cstheme="majorHAnsi"/>
                <w:b/>
                <w:bCs/>
                <w:i/>
                <w:iCs/>
                <w:color w:val="auto"/>
                <w:sz w:val="20"/>
                <w:szCs w:val="20"/>
              </w:rPr>
              <w:t>% children at risk of overweight or obese (BMI &gt;=85</w:t>
            </w:r>
            <w:r w:rsidRPr="00B70107">
              <w:rPr>
                <w:rFonts w:asciiTheme="majorHAnsi" w:hAnsiTheme="majorHAnsi" w:cstheme="majorHAnsi"/>
                <w:b/>
                <w:bCs/>
                <w:i/>
                <w:iCs/>
                <w:color w:val="auto"/>
                <w:sz w:val="20"/>
                <w:szCs w:val="20"/>
                <w:vertAlign w:val="superscript"/>
              </w:rPr>
              <w:t>th</w:t>
            </w:r>
            <w:r w:rsidRPr="00B70107">
              <w:rPr>
                <w:rFonts w:asciiTheme="majorHAnsi" w:hAnsiTheme="majorHAnsi" w:cstheme="majorHAnsi"/>
                <w:b/>
                <w:bCs/>
                <w:i/>
                <w:iCs/>
                <w:color w:val="auto"/>
                <w:sz w:val="20"/>
                <w:szCs w:val="20"/>
              </w:rPr>
              <w:t xml:space="preserve"> percentile) by SIMD</w:t>
            </w:r>
          </w:p>
          <w:p w14:paraId="0B0729E1"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Most: 27.2% (14% OW, </w:t>
            </w:r>
            <w:r w:rsidRPr="00B70107">
              <w:rPr>
                <w:rFonts w:asciiTheme="majorHAnsi" w:hAnsiTheme="majorHAnsi" w:cstheme="majorHAnsi"/>
                <w:b/>
                <w:bCs/>
                <w:sz w:val="20"/>
                <w:szCs w:val="20"/>
                <w:u w:val="single"/>
              </w:rPr>
              <w:t>13.3% obese</w:t>
            </w:r>
            <w:r w:rsidRPr="00B70107">
              <w:rPr>
                <w:rFonts w:asciiTheme="majorHAnsi" w:hAnsiTheme="majorHAnsi" w:cstheme="majorHAnsi"/>
                <w:sz w:val="20"/>
                <w:szCs w:val="20"/>
              </w:rPr>
              <w:t>)</w:t>
            </w:r>
          </w:p>
          <w:p w14:paraId="2CDE5C21"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2nd: 25.5% (12.9% OW, 12.6% obese)</w:t>
            </w:r>
          </w:p>
          <w:p w14:paraId="69812B16"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3rd: 23% (12.6% OW, 10.4% obese)</w:t>
            </w:r>
          </w:p>
          <w:p w14:paraId="1B5EE7AD"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4th: 20.5% (11.3% OW, 9.2% obese)</w:t>
            </w:r>
          </w:p>
          <w:p w14:paraId="22EA94EB"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Least: 17.2% (10.8% OW, </w:t>
            </w:r>
            <w:r w:rsidRPr="00B70107">
              <w:rPr>
                <w:rFonts w:asciiTheme="majorHAnsi" w:hAnsiTheme="majorHAnsi" w:cstheme="majorHAnsi"/>
                <w:b/>
                <w:bCs/>
                <w:sz w:val="20"/>
                <w:szCs w:val="20"/>
                <w:u w:val="single"/>
              </w:rPr>
              <w:t>6.4% obese</w:t>
            </w:r>
            <w:r w:rsidRPr="00B70107">
              <w:rPr>
                <w:rFonts w:asciiTheme="majorHAnsi" w:hAnsiTheme="majorHAnsi" w:cstheme="majorHAnsi"/>
                <w:sz w:val="20"/>
                <w:szCs w:val="20"/>
              </w:rPr>
              <w:t>)</w:t>
            </w:r>
          </w:p>
          <w:p w14:paraId="1C5FB046" w14:textId="77777777" w:rsidR="00DC519F" w:rsidRPr="00B70107" w:rsidRDefault="00DC519F" w:rsidP="001A01DC">
            <w:pPr>
              <w:autoSpaceDE w:val="0"/>
              <w:autoSpaceDN w:val="0"/>
              <w:adjustRightInd w:val="0"/>
              <w:rPr>
                <w:rFonts w:asciiTheme="majorHAnsi" w:hAnsiTheme="majorHAnsi" w:cstheme="majorHAnsi"/>
                <w:bCs/>
                <w:sz w:val="20"/>
                <w:szCs w:val="20"/>
              </w:rPr>
            </w:pPr>
          </w:p>
          <w:p w14:paraId="1DFA2A0D" w14:textId="77777777" w:rsidR="00DC519F" w:rsidRPr="00B70107" w:rsidRDefault="00DC519F" w:rsidP="001A01DC">
            <w:pPr>
              <w:autoSpaceDE w:val="0"/>
              <w:autoSpaceDN w:val="0"/>
              <w:adjustRightInd w:val="0"/>
              <w:rPr>
                <w:rFonts w:asciiTheme="majorHAnsi" w:hAnsiTheme="majorHAnsi" w:cstheme="majorHAnsi"/>
                <w:bCs/>
                <w:sz w:val="20"/>
                <w:szCs w:val="20"/>
              </w:rPr>
            </w:pPr>
            <w:r w:rsidRPr="00B70107">
              <w:rPr>
                <w:rFonts w:asciiTheme="majorHAnsi" w:hAnsiTheme="majorHAnsi" w:cstheme="majorHAnsi"/>
                <w:bCs/>
                <w:sz w:val="20"/>
                <w:szCs w:val="20"/>
              </w:rPr>
              <w:t>The more deprived the SIMD quintile, the more likely a child was at risk of overweight/obesity. Those in the most deprived areas were at the highest risk of being overweight/obese.</w:t>
            </w:r>
          </w:p>
          <w:p w14:paraId="212BE62D" w14:textId="77777777" w:rsidR="00DC519F" w:rsidRPr="00B70107" w:rsidRDefault="00DC519F" w:rsidP="001A01DC">
            <w:pPr>
              <w:autoSpaceDE w:val="0"/>
              <w:autoSpaceDN w:val="0"/>
              <w:adjustRightInd w:val="0"/>
              <w:rPr>
                <w:rFonts w:asciiTheme="majorHAnsi" w:hAnsiTheme="majorHAnsi" w:cstheme="majorHAnsi"/>
                <w:bCs/>
                <w:sz w:val="20"/>
                <w:szCs w:val="20"/>
              </w:rPr>
            </w:pPr>
          </w:p>
          <w:p w14:paraId="2C2A21B1" w14:textId="77777777" w:rsidR="00DC519F" w:rsidRPr="00B70107" w:rsidRDefault="00DC519F" w:rsidP="001A01DC">
            <w:pPr>
              <w:autoSpaceDE w:val="0"/>
              <w:autoSpaceDN w:val="0"/>
              <w:adjustRightInd w:val="0"/>
              <w:rPr>
                <w:rFonts w:asciiTheme="majorHAnsi" w:hAnsiTheme="majorHAnsi" w:cstheme="majorHAnsi"/>
                <w:bCs/>
                <w:sz w:val="20"/>
                <w:szCs w:val="20"/>
              </w:rPr>
            </w:pPr>
            <w:r w:rsidRPr="00B70107">
              <w:rPr>
                <w:rFonts w:asciiTheme="majorHAnsi" w:hAnsiTheme="majorHAnsi" w:cstheme="majorHAnsi"/>
                <w:bCs/>
                <w:sz w:val="20"/>
                <w:szCs w:val="20"/>
              </w:rPr>
              <w:t>Those in the most deprived areas were twice as likely to beat risk of being overweight/obese than those in the least deprived areas (13.3% of those in the most deprived areas were at risk as opposed to 6.4% of those in the least deprived areas).</w:t>
            </w:r>
          </w:p>
          <w:p w14:paraId="675B58DE" w14:textId="77777777" w:rsidR="00DC519F" w:rsidRPr="00B70107" w:rsidRDefault="00DC519F" w:rsidP="001A01DC">
            <w:pPr>
              <w:autoSpaceDE w:val="0"/>
              <w:autoSpaceDN w:val="0"/>
              <w:adjustRightInd w:val="0"/>
              <w:rPr>
                <w:rFonts w:asciiTheme="majorHAnsi" w:hAnsiTheme="majorHAnsi" w:cstheme="majorHAnsi"/>
                <w:bCs/>
                <w:sz w:val="20"/>
                <w:szCs w:val="20"/>
              </w:rPr>
            </w:pPr>
          </w:p>
          <w:p w14:paraId="366D271F" w14:textId="77777777" w:rsidR="00DC519F" w:rsidRPr="00B70107" w:rsidRDefault="00DC519F" w:rsidP="001A01DC">
            <w:pPr>
              <w:rPr>
                <w:rFonts w:asciiTheme="majorHAnsi" w:hAnsiTheme="majorHAnsi" w:cstheme="majorHAnsi"/>
                <w:sz w:val="20"/>
                <w:szCs w:val="20"/>
              </w:rPr>
            </w:pPr>
            <w:r w:rsidRPr="00B70107">
              <w:rPr>
                <w:rFonts w:asciiTheme="majorHAnsi" w:hAnsiTheme="majorHAnsi" w:cstheme="majorHAnsi"/>
                <w:sz w:val="20"/>
                <w:szCs w:val="20"/>
              </w:rPr>
              <w:t xml:space="preserve">Boys were slightly less likely than girls to have a healthy weight (75.7% boys; 76.8% girls). Boys were slightly more likely than girls to be at risk of overweight or obesity (23.0% boys; 22.5% girls) but were also twice as likely at risk of being underweight (1.3% boys; 0.6% girls). </w:t>
            </w:r>
          </w:p>
          <w:p w14:paraId="1482AE60" w14:textId="77777777" w:rsidR="00DC519F" w:rsidRPr="00B70107" w:rsidRDefault="00DC519F" w:rsidP="001A01DC">
            <w:pPr>
              <w:autoSpaceDE w:val="0"/>
              <w:autoSpaceDN w:val="0"/>
              <w:adjustRightInd w:val="0"/>
              <w:rPr>
                <w:rFonts w:asciiTheme="majorHAnsi" w:hAnsiTheme="majorHAnsi" w:cstheme="majorHAnsi"/>
                <w:bCs/>
                <w:sz w:val="20"/>
                <w:szCs w:val="20"/>
              </w:rPr>
            </w:pPr>
          </w:p>
          <w:p w14:paraId="746851BE" w14:textId="77777777" w:rsidR="00DC519F" w:rsidRPr="00B70107" w:rsidDel="004E6523" w:rsidRDefault="00DC519F" w:rsidP="001A01DC">
            <w:pPr>
              <w:autoSpaceDE w:val="0"/>
              <w:autoSpaceDN w:val="0"/>
              <w:adjustRightInd w:val="0"/>
              <w:rPr>
                <w:rFonts w:asciiTheme="majorHAnsi" w:hAnsiTheme="majorHAnsi" w:cstheme="majorHAnsi"/>
                <w:bCs/>
                <w:sz w:val="20"/>
                <w:szCs w:val="20"/>
              </w:rPr>
            </w:pPr>
          </w:p>
        </w:tc>
        <w:tc>
          <w:tcPr>
            <w:tcW w:w="2693" w:type="dxa"/>
          </w:tcPr>
          <w:p w14:paraId="6114E10E" w14:textId="77777777" w:rsidR="00DC519F" w:rsidRPr="00B70107" w:rsidRDefault="00DC519F" w:rsidP="001A01DC">
            <w:pPr>
              <w:rPr>
                <w:rFonts w:asciiTheme="majorHAnsi" w:hAnsiTheme="majorHAnsi" w:cstheme="majorHAnsi"/>
                <w:iCs/>
                <w:sz w:val="20"/>
                <w:szCs w:val="20"/>
              </w:rPr>
            </w:pPr>
            <w:r w:rsidRPr="00B70107">
              <w:rPr>
                <w:rFonts w:asciiTheme="majorHAnsi" w:hAnsiTheme="majorHAnsi" w:cstheme="majorHAnsi"/>
                <w:iCs/>
                <w:sz w:val="20"/>
                <w:szCs w:val="20"/>
              </w:rPr>
              <w:t xml:space="preserve">Only surveys P1s. </w:t>
            </w:r>
          </w:p>
          <w:p w14:paraId="790AB9D0" w14:textId="77777777" w:rsidR="00DC519F" w:rsidRPr="00B70107" w:rsidRDefault="00DC519F" w:rsidP="001A01DC">
            <w:pPr>
              <w:rPr>
                <w:rFonts w:asciiTheme="majorHAnsi" w:hAnsiTheme="majorHAnsi" w:cstheme="majorHAnsi"/>
                <w:iCs/>
                <w:sz w:val="20"/>
                <w:szCs w:val="20"/>
              </w:rPr>
            </w:pPr>
          </w:p>
          <w:p w14:paraId="2B8757B3" w14:textId="77777777" w:rsidR="00DC519F" w:rsidRPr="00B70107" w:rsidRDefault="00DC519F" w:rsidP="001A01DC">
            <w:pPr>
              <w:rPr>
                <w:rFonts w:asciiTheme="majorHAnsi" w:hAnsiTheme="majorHAnsi" w:cstheme="majorHAnsi"/>
                <w:iCs/>
                <w:sz w:val="20"/>
                <w:szCs w:val="20"/>
              </w:rPr>
            </w:pPr>
            <w:r w:rsidRPr="00B70107">
              <w:rPr>
                <w:rFonts w:asciiTheme="majorHAnsi" w:hAnsiTheme="majorHAnsi" w:cstheme="majorHAnsi"/>
                <w:iCs/>
                <w:sz w:val="20"/>
                <w:szCs w:val="20"/>
              </w:rPr>
              <w:t>Despite having less numbers than the 2019/2018 reports, the data is nationally representative of Scottish children and is therefore a reliable representation of the P1 BMIs. The trend of those from a more deprived area being more at risk of being overweight/obese reflects the findings from the previous two years, further supporting the reliability of this data.</w:t>
            </w:r>
          </w:p>
          <w:p w14:paraId="023C40AD" w14:textId="77777777" w:rsidR="00DC519F" w:rsidRPr="00B70107" w:rsidRDefault="00DC519F" w:rsidP="001A01DC">
            <w:pPr>
              <w:rPr>
                <w:rFonts w:asciiTheme="majorHAnsi" w:hAnsiTheme="majorHAnsi" w:cstheme="majorHAnsi"/>
                <w:iCs/>
                <w:sz w:val="20"/>
                <w:szCs w:val="20"/>
              </w:rPr>
            </w:pPr>
          </w:p>
          <w:p w14:paraId="5C89EDBC" w14:textId="77777777" w:rsidR="00DC519F" w:rsidRPr="00B70107" w:rsidRDefault="00DC519F" w:rsidP="001A01DC">
            <w:pPr>
              <w:autoSpaceDE w:val="0"/>
              <w:autoSpaceDN w:val="0"/>
              <w:adjustRightInd w:val="0"/>
              <w:rPr>
                <w:rFonts w:asciiTheme="majorHAnsi" w:hAnsiTheme="majorHAnsi" w:cstheme="majorHAnsi"/>
                <w:iCs/>
                <w:sz w:val="20"/>
                <w:szCs w:val="20"/>
              </w:rPr>
            </w:pPr>
            <w:r w:rsidRPr="00B70107">
              <w:rPr>
                <w:rFonts w:asciiTheme="majorHAnsi" w:hAnsiTheme="majorHAnsi" w:cstheme="majorHAnsi"/>
                <w:iCs/>
                <w:sz w:val="20"/>
                <w:szCs w:val="20"/>
              </w:rPr>
              <w:t>In comparison to the 2018 AHKRC, the most recent data shows that the gap between the most deprived and least deprived areas has widened as those in the least deprived areas have displayed lower rates of obesity/overweight whereas those in the most deprived areas have slightly higher rates.</w:t>
            </w:r>
          </w:p>
          <w:p w14:paraId="32722AAE" w14:textId="77777777" w:rsidR="00DC519F" w:rsidRPr="00B70107" w:rsidRDefault="00DC519F" w:rsidP="001A01DC">
            <w:pPr>
              <w:autoSpaceDE w:val="0"/>
              <w:autoSpaceDN w:val="0"/>
              <w:adjustRightInd w:val="0"/>
              <w:rPr>
                <w:rFonts w:asciiTheme="majorHAnsi" w:hAnsiTheme="majorHAnsi" w:cstheme="majorHAnsi"/>
                <w:iCs/>
                <w:sz w:val="20"/>
                <w:szCs w:val="20"/>
              </w:rPr>
            </w:pPr>
          </w:p>
          <w:p w14:paraId="60DC1679" w14:textId="77777777" w:rsidR="00DC519F" w:rsidRPr="00B70107" w:rsidRDefault="00DC519F" w:rsidP="001A01DC">
            <w:pPr>
              <w:autoSpaceDE w:val="0"/>
              <w:autoSpaceDN w:val="0"/>
              <w:adjustRightInd w:val="0"/>
              <w:rPr>
                <w:rFonts w:asciiTheme="majorHAnsi" w:hAnsiTheme="majorHAnsi" w:cstheme="majorHAnsi"/>
                <w:iCs/>
                <w:sz w:val="20"/>
                <w:szCs w:val="20"/>
              </w:rPr>
            </w:pPr>
            <w:r w:rsidRPr="00B70107">
              <w:rPr>
                <w:rFonts w:asciiTheme="majorHAnsi" w:hAnsiTheme="majorHAnsi" w:cstheme="majorHAnsi"/>
                <w:iCs/>
                <w:sz w:val="20"/>
                <w:szCs w:val="20"/>
              </w:rPr>
              <w:t xml:space="preserve">Those in the least deprived areas have lower rates of overweight/obesity. </w:t>
            </w:r>
          </w:p>
          <w:p w14:paraId="765701CF" w14:textId="77777777" w:rsidR="00DC519F" w:rsidRPr="00B70107" w:rsidRDefault="00DC519F" w:rsidP="001A01DC">
            <w:pPr>
              <w:autoSpaceDE w:val="0"/>
              <w:autoSpaceDN w:val="0"/>
              <w:adjustRightInd w:val="0"/>
              <w:rPr>
                <w:rFonts w:asciiTheme="majorHAnsi" w:hAnsiTheme="majorHAnsi" w:cstheme="majorHAnsi"/>
                <w:iCs/>
                <w:sz w:val="20"/>
                <w:szCs w:val="20"/>
              </w:rPr>
            </w:pPr>
          </w:p>
          <w:p w14:paraId="02ED6AF3" w14:textId="77777777" w:rsidR="00DC519F" w:rsidRPr="00B70107" w:rsidRDefault="00DC519F" w:rsidP="001A01DC">
            <w:pPr>
              <w:pStyle w:val="Default"/>
              <w:rPr>
                <w:rFonts w:asciiTheme="majorHAnsi" w:hAnsiTheme="majorHAnsi" w:cstheme="majorHAnsi"/>
                <w:b/>
                <w:bCs/>
                <w:i/>
                <w:iCs/>
                <w:color w:val="auto"/>
                <w:sz w:val="20"/>
                <w:szCs w:val="20"/>
              </w:rPr>
            </w:pPr>
            <w:r w:rsidRPr="00B70107">
              <w:rPr>
                <w:rFonts w:asciiTheme="majorHAnsi" w:hAnsiTheme="majorHAnsi" w:cstheme="majorHAnsi"/>
                <w:iCs/>
                <w:color w:val="auto"/>
                <w:sz w:val="20"/>
                <w:szCs w:val="20"/>
              </w:rPr>
              <w:t xml:space="preserve">In AHKRC 2018 </w:t>
            </w:r>
            <w:r w:rsidRPr="00B70107">
              <w:rPr>
                <w:rFonts w:asciiTheme="majorHAnsi" w:hAnsiTheme="majorHAnsi" w:cstheme="majorHAnsi"/>
                <w:b/>
                <w:bCs/>
                <w:i/>
                <w:iCs/>
                <w:color w:val="auto"/>
                <w:sz w:val="20"/>
                <w:szCs w:val="20"/>
              </w:rPr>
              <w:t>% children at risk of overweight or obese (BMI &gt;=85</w:t>
            </w:r>
            <w:r w:rsidRPr="00B70107">
              <w:rPr>
                <w:rFonts w:asciiTheme="majorHAnsi" w:hAnsiTheme="majorHAnsi" w:cstheme="majorHAnsi"/>
                <w:b/>
                <w:bCs/>
                <w:i/>
                <w:iCs/>
                <w:color w:val="auto"/>
                <w:sz w:val="20"/>
                <w:szCs w:val="20"/>
                <w:vertAlign w:val="superscript"/>
              </w:rPr>
              <w:t>th</w:t>
            </w:r>
            <w:r w:rsidRPr="00B70107">
              <w:rPr>
                <w:rFonts w:asciiTheme="majorHAnsi" w:hAnsiTheme="majorHAnsi" w:cstheme="majorHAnsi"/>
                <w:b/>
                <w:bCs/>
                <w:i/>
                <w:iCs/>
                <w:color w:val="auto"/>
                <w:sz w:val="20"/>
                <w:szCs w:val="20"/>
              </w:rPr>
              <w:t xml:space="preserve"> percentile) by SIMD</w:t>
            </w:r>
            <w:r w:rsidRPr="00B70107">
              <w:rPr>
                <w:rFonts w:asciiTheme="majorHAnsi" w:hAnsiTheme="majorHAnsi" w:cstheme="majorHAnsi"/>
                <w:iCs/>
                <w:color w:val="auto"/>
                <w:sz w:val="20"/>
                <w:szCs w:val="20"/>
              </w:rPr>
              <w:t xml:space="preserve">: </w:t>
            </w:r>
          </w:p>
          <w:p w14:paraId="692C8C6B"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Least = </w:t>
            </w:r>
            <w:r w:rsidRPr="00B70107">
              <w:rPr>
                <w:rFonts w:asciiTheme="majorHAnsi" w:hAnsiTheme="majorHAnsi" w:cstheme="majorHAnsi"/>
                <w:b/>
                <w:bCs/>
                <w:sz w:val="20"/>
                <w:szCs w:val="20"/>
              </w:rPr>
              <w:t>18.3%</w:t>
            </w:r>
            <w:r w:rsidRPr="00B70107">
              <w:rPr>
                <w:rFonts w:asciiTheme="majorHAnsi" w:hAnsiTheme="majorHAnsi" w:cstheme="majorHAnsi"/>
                <w:sz w:val="20"/>
                <w:szCs w:val="20"/>
              </w:rPr>
              <w:t xml:space="preserve"> (11.2% OW, 7.1% obese)</w:t>
            </w:r>
          </w:p>
          <w:p w14:paraId="6D13E227"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Most = </w:t>
            </w:r>
            <w:r w:rsidRPr="00B70107">
              <w:rPr>
                <w:rFonts w:asciiTheme="majorHAnsi" w:hAnsiTheme="majorHAnsi" w:cstheme="majorHAnsi"/>
                <w:b/>
                <w:bCs/>
                <w:sz w:val="20"/>
                <w:szCs w:val="20"/>
              </w:rPr>
              <w:t>26.4%</w:t>
            </w:r>
            <w:r w:rsidRPr="00B70107">
              <w:rPr>
                <w:rFonts w:asciiTheme="majorHAnsi" w:hAnsiTheme="majorHAnsi" w:cstheme="majorHAnsi"/>
                <w:sz w:val="20"/>
                <w:szCs w:val="20"/>
              </w:rPr>
              <w:t xml:space="preserve"> (13.3% OW, 13.2% obese)</w:t>
            </w:r>
          </w:p>
          <w:p w14:paraId="2ED7D79F" w14:textId="77777777" w:rsidR="00DC519F" w:rsidRPr="00B70107" w:rsidRDefault="00DC519F" w:rsidP="001A01DC">
            <w:pPr>
              <w:autoSpaceDE w:val="0"/>
              <w:autoSpaceDN w:val="0"/>
              <w:adjustRightInd w:val="0"/>
              <w:rPr>
                <w:rFonts w:asciiTheme="majorHAnsi" w:hAnsiTheme="majorHAnsi" w:cstheme="majorHAnsi"/>
                <w:sz w:val="20"/>
                <w:szCs w:val="20"/>
              </w:rPr>
            </w:pPr>
          </w:p>
          <w:p w14:paraId="2977C681" w14:textId="77777777" w:rsidR="00DC519F" w:rsidRPr="00B70107" w:rsidRDefault="00DC519F" w:rsidP="001A01DC">
            <w:pPr>
              <w:pStyle w:val="Default"/>
              <w:rPr>
                <w:rFonts w:asciiTheme="majorHAnsi" w:hAnsiTheme="majorHAnsi" w:cstheme="majorHAnsi"/>
                <w:b/>
                <w:bCs/>
                <w:i/>
                <w:iCs/>
                <w:color w:val="auto"/>
                <w:sz w:val="20"/>
                <w:szCs w:val="20"/>
              </w:rPr>
            </w:pPr>
            <w:r w:rsidRPr="00B70107">
              <w:rPr>
                <w:rFonts w:asciiTheme="majorHAnsi" w:hAnsiTheme="majorHAnsi" w:cstheme="majorHAnsi"/>
                <w:color w:val="auto"/>
                <w:sz w:val="20"/>
                <w:szCs w:val="20"/>
              </w:rPr>
              <w:t xml:space="preserve">Vs. 2020 findings </w:t>
            </w:r>
            <w:r w:rsidRPr="00B70107">
              <w:rPr>
                <w:rFonts w:asciiTheme="majorHAnsi" w:hAnsiTheme="majorHAnsi" w:cstheme="majorHAnsi"/>
                <w:b/>
                <w:bCs/>
                <w:i/>
                <w:iCs/>
                <w:color w:val="auto"/>
                <w:sz w:val="20"/>
                <w:szCs w:val="20"/>
              </w:rPr>
              <w:t>% children at risk of overweight or obese (BMI &gt;=85</w:t>
            </w:r>
            <w:r w:rsidRPr="00B70107">
              <w:rPr>
                <w:rFonts w:asciiTheme="majorHAnsi" w:hAnsiTheme="majorHAnsi" w:cstheme="majorHAnsi"/>
                <w:b/>
                <w:bCs/>
                <w:i/>
                <w:iCs/>
                <w:color w:val="auto"/>
                <w:sz w:val="20"/>
                <w:szCs w:val="20"/>
                <w:vertAlign w:val="superscript"/>
              </w:rPr>
              <w:t>th</w:t>
            </w:r>
            <w:r w:rsidRPr="00B70107">
              <w:rPr>
                <w:rFonts w:asciiTheme="majorHAnsi" w:hAnsiTheme="majorHAnsi" w:cstheme="majorHAnsi"/>
                <w:b/>
                <w:bCs/>
                <w:i/>
                <w:iCs/>
                <w:color w:val="auto"/>
                <w:sz w:val="20"/>
                <w:szCs w:val="20"/>
              </w:rPr>
              <w:t xml:space="preserve"> percentile) by SIMD</w:t>
            </w:r>
            <w:r w:rsidRPr="00B70107">
              <w:rPr>
                <w:rFonts w:asciiTheme="majorHAnsi" w:hAnsiTheme="majorHAnsi" w:cstheme="majorHAnsi"/>
                <w:color w:val="auto"/>
                <w:sz w:val="20"/>
                <w:szCs w:val="20"/>
              </w:rPr>
              <w:t>:</w:t>
            </w:r>
          </w:p>
          <w:p w14:paraId="7307113C"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Least: </w:t>
            </w:r>
            <w:r w:rsidRPr="00B70107">
              <w:rPr>
                <w:rFonts w:asciiTheme="majorHAnsi" w:hAnsiTheme="majorHAnsi" w:cstheme="majorHAnsi"/>
                <w:b/>
                <w:bCs/>
                <w:sz w:val="20"/>
                <w:szCs w:val="20"/>
              </w:rPr>
              <w:t>17.2%</w:t>
            </w:r>
            <w:r w:rsidRPr="00B70107">
              <w:rPr>
                <w:rFonts w:asciiTheme="majorHAnsi" w:hAnsiTheme="majorHAnsi" w:cstheme="majorHAnsi"/>
                <w:sz w:val="20"/>
                <w:szCs w:val="20"/>
              </w:rPr>
              <w:t xml:space="preserve"> (10.8% OW, 6.4% obese)</w:t>
            </w:r>
          </w:p>
          <w:p w14:paraId="712D2AD9"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Most: </w:t>
            </w:r>
            <w:r w:rsidRPr="00B70107">
              <w:rPr>
                <w:rFonts w:asciiTheme="majorHAnsi" w:hAnsiTheme="majorHAnsi" w:cstheme="majorHAnsi"/>
                <w:b/>
                <w:bCs/>
                <w:sz w:val="20"/>
                <w:szCs w:val="20"/>
              </w:rPr>
              <w:t>27.2%</w:t>
            </w:r>
            <w:r w:rsidRPr="00B70107">
              <w:rPr>
                <w:rFonts w:asciiTheme="majorHAnsi" w:hAnsiTheme="majorHAnsi" w:cstheme="majorHAnsi"/>
                <w:sz w:val="20"/>
                <w:szCs w:val="20"/>
              </w:rPr>
              <w:t xml:space="preserve"> (14% OW, 13.3% obese)</w:t>
            </w:r>
          </w:p>
          <w:p w14:paraId="6CD1B101" w14:textId="77777777" w:rsidR="00DC519F" w:rsidRPr="00B70107" w:rsidRDefault="00DC519F" w:rsidP="001A01DC">
            <w:pPr>
              <w:autoSpaceDE w:val="0"/>
              <w:autoSpaceDN w:val="0"/>
              <w:adjustRightInd w:val="0"/>
              <w:rPr>
                <w:rFonts w:asciiTheme="majorHAnsi" w:hAnsiTheme="majorHAnsi" w:cstheme="majorHAnsi"/>
                <w:sz w:val="20"/>
                <w:szCs w:val="20"/>
              </w:rPr>
            </w:pPr>
          </w:p>
        </w:tc>
      </w:tr>
      <w:tr w:rsidR="00DC519F" w:rsidRPr="00B70107" w14:paraId="7F621120" w14:textId="77777777" w:rsidTr="001A01DC">
        <w:tc>
          <w:tcPr>
            <w:tcW w:w="3912" w:type="dxa"/>
          </w:tcPr>
          <w:p w14:paraId="2E57BC08" w14:textId="77777777" w:rsidR="00DC519F" w:rsidRPr="00B70107" w:rsidRDefault="00DC519F" w:rsidP="001A01DC">
            <w:pPr>
              <w:rPr>
                <w:b/>
                <w:bCs/>
              </w:rPr>
            </w:pPr>
            <w:r w:rsidRPr="00B70107">
              <w:t>Primary 1 Body Mass Index (BMI) statistics Scotland (2019)</w:t>
            </w:r>
          </w:p>
          <w:p w14:paraId="76D554EC" w14:textId="77777777" w:rsidR="00DC519F" w:rsidRPr="00B70107" w:rsidRDefault="00F1041F" w:rsidP="001A01DC">
            <w:pPr>
              <w:rPr>
                <w:b/>
              </w:rPr>
            </w:pPr>
            <w:hyperlink r:id="rId43" w:history="1">
              <w:r w:rsidR="00DC519F" w:rsidRPr="00B70107">
                <w:rPr>
                  <w:rStyle w:val="Hyperlink"/>
                  <w:rFonts w:asciiTheme="majorHAnsi" w:hAnsiTheme="majorHAnsi" w:cstheme="majorHAnsi"/>
                  <w:color w:val="auto"/>
                  <w:sz w:val="20"/>
                  <w:szCs w:val="20"/>
                </w:rPr>
                <w:t>https://www.isdscotland.org/Health-Topics/Child-Health/Publications/2019-12-10/2019-12-10-P1-BMI-Statistics-Publication-Report.pdf</w:t>
              </w:r>
            </w:hyperlink>
            <w:r w:rsidR="00DC519F" w:rsidRPr="00B70107">
              <w:t xml:space="preserve"> </w:t>
            </w:r>
          </w:p>
        </w:tc>
        <w:tc>
          <w:tcPr>
            <w:tcW w:w="2268" w:type="dxa"/>
          </w:tcPr>
          <w:p w14:paraId="7127CFA7" w14:textId="77777777" w:rsidR="00DC519F" w:rsidRPr="00B70107" w:rsidDel="004E6523" w:rsidRDefault="00DC519F" w:rsidP="001A01DC">
            <w:pPr>
              <w:rPr>
                <w:rFonts w:asciiTheme="majorHAnsi" w:hAnsiTheme="majorHAnsi" w:cstheme="majorHAnsi"/>
                <w:sz w:val="20"/>
                <w:szCs w:val="20"/>
              </w:rPr>
            </w:pPr>
            <w:r w:rsidRPr="00B70107">
              <w:rPr>
                <w:rFonts w:asciiTheme="majorHAnsi" w:hAnsiTheme="majorHAnsi" w:cstheme="majorHAnsi"/>
                <w:sz w:val="20"/>
                <w:szCs w:val="20"/>
              </w:rPr>
              <w:t>Nationally representative sample of 44,782 (76.3%) Scottish Primary 1 pupils</w:t>
            </w:r>
          </w:p>
        </w:tc>
        <w:tc>
          <w:tcPr>
            <w:tcW w:w="2410" w:type="dxa"/>
          </w:tcPr>
          <w:p w14:paraId="1F56257E" w14:textId="77777777" w:rsidR="00DC519F" w:rsidRPr="00B70107" w:rsidRDefault="00DC519F" w:rsidP="001A01DC">
            <w:pPr>
              <w:rPr>
                <w:rFonts w:asciiTheme="majorHAnsi" w:hAnsiTheme="majorHAnsi" w:cstheme="majorHAnsi"/>
                <w:sz w:val="20"/>
                <w:szCs w:val="20"/>
              </w:rPr>
            </w:pPr>
            <w:r w:rsidRPr="00B70107">
              <w:rPr>
                <w:rFonts w:asciiTheme="majorHAnsi" w:hAnsiTheme="majorHAnsi" w:cstheme="majorHAnsi"/>
                <w:sz w:val="20"/>
                <w:szCs w:val="20"/>
              </w:rPr>
              <w:t xml:space="preserve">UK90 BMI. ≥ 91st percentile: overweight/obesity, ≥ 98th: obesity </w:t>
            </w:r>
          </w:p>
          <w:p w14:paraId="46E914EF" w14:textId="77777777" w:rsidR="00DC519F" w:rsidRPr="00B70107" w:rsidDel="004E6523" w:rsidRDefault="00DC519F" w:rsidP="001A01DC">
            <w:pPr>
              <w:rPr>
                <w:rFonts w:asciiTheme="majorHAnsi" w:hAnsiTheme="majorHAnsi" w:cstheme="majorHAnsi"/>
                <w:b/>
                <w:sz w:val="20"/>
                <w:szCs w:val="20"/>
              </w:rPr>
            </w:pPr>
          </w:p>
        </w:tc>
        <w:tc>
          <w:tcPr>
            <w:tcW w:w="2891" w:type="dxa"/>
          </w:tcPr>
          <w:p w14:paraId="76D4FD92" w14:textId="77777777" w:rsidR="00DC519F" w:rsidRPr="00B70107" w:rsidRDefault="00DC519F" w:rsidP="001A01DC">
            <w:pPr>
              <w:rPr>
                <w:rFonts w:asciiTheme="majorHAnsi" w:hAnsiTheme="majorHAnsi" w:cstheme="majorHAnsi"/>
                <w:sz w:val="20"/>
                <w:szCs w:val="20"/>
              </w:rPr>
            </w:pPr>
            <w:r w:rsidRPr="00B70107">
              <w:rPr>
                <w:rFonts w:asciiTheme="majorHAnsi" w:hAnsiTheme="majorHAnsi" w:cstheme="majorHAnsi"/>
                <w:sz w:val="20"/>
                <w:szCs w:val="20"/>
              </w:rPr>
              <w:t>76.6% of Primary 1 children in 2018/19 had a BMI in the healthy weight range. 12.2% of children were at risk of overweight and 10.2% were at risk of obesity (22.4% at risk of overweight or obesity combined). Included in the 10.3% of children at risk of obesity were 2.8% of children at risk of severe obesity. 1.0% of children were at risk of underweight.</w:t>
            </w:r>
          </w:p>
          <w:p w14:paraId="6410C7B1" w14:textId="77777777" w:rsidR="00DC519F" w:rsidRPr="00B70107" w:rsidRDefault="00DC519F" w:rsidP="001A01DC">
            <w:pPr>
              <w:rPr>
                <w:rFonts w:asciiTheme="majorHAnsi" w:hAnsiTheme="majorHAnsi" w:cstheme="majorHAnsi"/>
                <w:sz w:val="20"/>
                <w:szCs w:val="20"/>
              </w:rPr>
            </w:pPr>
          </w:p>
          <w:p w14:paraId="72C9C2AA" w14:textId="77777777" w:rsidR="00DC519F" w:rsidRPr="00B70107" w:rsidRDefault="00DC519F" w:rsidP="001A01DC">
            <w:pPr>
              <w:pStyle w:val="Default"/>
              <w:rPr>
                <w:rFonts w:asciiTheme="majorHAnsi" w:hAnsiTheme="majorHAnsi" w:cstheme="majorHAnsi"/>
                <w:b/>
                <w:bCs/>
                <w:i/>
                <w:iCs/>
                <w:color w:val="auto"/>
                <w:sz w:val="20"/>
                <w:szCs w:val="20"/>
              </w:rPr>
            </w:pPr>
            <w:r w:rsidRPr="00B70107">
              <w:rPr>
                <w:rFonts w:asciiTheme="majorHAnsi" w:hAnsiTheme="majorHAnsi" w:cstheme="majorHAnsi"/>
                <w:b/>
                <w:bCs/>
                <w:i/>
                <w:iCs/>
                <w:color w:val="auto"/>
                <w:sz w:val="20"/>
                <w:szCs w:val="20"/>
              </w:rPr>
              <w:t>% children at risk of overweight or obese (BMI &gt;=85</w:t>
            </w:r>
            <w:r w:rsidRPr="00B70107">
              <w:rPr>
                <w:rFonts w:asciiTheme="majorHAnsi" w:hAnsiTheme="majorHAnsi" w:cstheme="majorHAnsi"/>
                <w:b/>
                <w:bCs/>
                <w:i/>
                <w:iCs/>
                <w:color w:val="auto"/>
                <w:sz w:val="20"/>
                <w:szCs w:val="20"/>
                <w:vertAlign w:val="superscript"/>
              </w:rPr>
              <w:t>th</w:t>
            </w:r>
            <w:r w:rsidRPr="00B70107">
              <w:rPr>
                <w:rFonts w:asciiTheme="majorHAnsi" w:hAnsiTheme="majorHAnsi" w:cstheme="majorHAnsi"/>
                <w:b/>
                <w:bCs/>
                <w:i/>
                <w:iCs/>
                <w:color w:val="auto"/>
                <w:sz w:val="20"/>
                <w:szCs w:val="20"/>
              </w:rPr>
              <w:t xml:space="preserve"> percentile) by SIMD</w:t>
            </w:r>
          </w:p>
          <w:p w14:paraId="413DED24"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most: 26.4% (12.8% OW, </w:t>
            </w:r>
            <w:r w:rsidRPr="00B70107">
              <w:rPr>
                <w:rFonts w:asciiTheme="majorHAnsi" w:hAnsiTheme="majorHAnsi" w:cstheme="majorHAnsi"/>
                <w:b/>
                <w:bCs/>
                <w:sz w:val="20"/>
                <w:szCs w:val="20"/>
                <w:u w:val="single"/>
              </w:rPr>
              <w:t>13.7% obese</w:t>
            </w:r>
            <w:r w:rsidRPr="00B70107">
              <w:rPr>
                <w:rFonts w:asciiTheme="majorHAnsi" w:hAnsiTheme="majorHAnsi" w:cstheme="majorHAnsi"/>
                <w:sz w:val="20"/>
                <w:szCs w:val="20"/>
              </w:rPr>
              <w:t>)</w:t>
            </w:r>
          </w:p>
          <w:p w14:paraId="7FBF61CE"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2nd: 24.3% (12.5% OW, 11.8% obese)</w:t>
            </w:r>
          </w:p>
          <w:p w14:paraId="6C1812F8"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3rd: 23.3% (12.5% OW, 10.8% obese)</w:t>
            </w:r>
          </w:p>
          <w:p w14:paraId="729CAD1A"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4th: 20.6% (12.2% OW, 8.4% obese)</w:t>
            </w:r>
          </w:p>
          <w:p w14:paraId="7FA9A5C5" w14:textId="77777777" w:rsidR="00DC519F" w:rsidRPr="00B70107" w:rsidRDefault="00DC519F" w:rsidP="001A01DC">
            <w:pPr>
              <w:autoSpaceDE w:val="0"/>
              <w:autoSpaceDN w:val="0"/>
              <w:adjustRightInd w:val="0"/>
              <w:rPr>
                <w:rFonts w:asciiTheme="majorHAnsi" w:hAnsiTheme="majorHAnsi" w:cstheme="majorHAnsi"/>
                <w:sz w:val="20"/>
                <w:szCs w:val="20"/>
              </w:rPr>
            </w:pPr>
            <w:r w:rsidRPr="00B70107">
              <w:rPr>
                <w:rFonts w:asciiTheme="majorHAnsi" w:hAnsiTheme="majorHAnsi" w:cstheme="majorHAnsi"/>
                <w:sz w:val="20"/>
                <w:szCs w:val="20"/>
              </w:rPr>
              <w:t xml:space="preserve">least: 17.6% (11% OW, </w:t>
            </w:r>
            <w:r w:rsidRPr="00B70107">
              <w:rPr>
                <w:rFonts w:asciiTheme="majorHAnsi" w:hAnsiTheme="majorHAnsi" w:cstheme="majorHAnsi"/>
                <w:b/>
                <w:bCs/>
                <w:sz w:val="20"/>
                <w:szCs w:val="20"/>
                <w:u w:val="single"/>
              </w:rPr>
              <w:t>6.5% obese</w:t>
            </w:r>
            <w:r w:rsidRPr="00B70107">
              <w:rPr>
                <w:rFonts w:asciiTheme="majorHAnsi" w:hAnsiTheme="majorHAnsi" w:cstheme="majorHAnsi"/>
                <w:sz w:val="20"/>
                <w:szCs w:val="20"/>
              </w:rPr>
              <w:t>)</w:t>
            </w:r>
          </w:p>
          <w:p w14:paraId="2A4962FD" w14:textId="77777777" w:rsidR="00DC519F" w:rsidRPr="00B70107" w:rsidRDefault="00DC519F" w:rsidP="001A01DC">
            <w:pPr>
              <w:rPr>
                <w:rFonts w:asciiTheme="majorHAnsi" w:hAnsiTheme="majorHAnsi" w:cstheme="majorHAnsi"/>
                <w:sz w:val="20"/>
                <w:szCs w:val="20"/>
              </w:rPr>
            </w:pPr>
          </w:p>
          <w:p w14:paraId="5C675774" w14:textId="77777777" w:rsidR="00DC519F" w:rsidRPr="00B70107" w:rsidRDefault="00DC519F" w:rsidP="001A01DC">
            <w:pPr>
              <w:autoSpaceDE w:val="0"/>
              <w:autoSpaceDN w:val="0"/>
              <w:adjustRightInd w:val="0"/>
              <w:rPr>
                <w:rFonts w:asciiTheme="majorHAnsi" w:hAnsiTheme="majorHAnsi" w:cstheme="majorHAnsi"/>
                <w:bCs/>
                <w:sz w:val="20"/>
                <w:szCs w:val="20"/>
              </w:rPr>
            </w:pPr>
            <w:r w:rsidRPr="00B70107">
              <w:rPr>
                <w:rFonts w:asciiTheme="majorHAnsi" w:hAnsiTheme="majorHAnsi" w:cstheme="majorHAnsi"/>
                <w:bCs/>
                <w:sz w:val="20"/>
                <w:szCs w:val="20"/>
              </w:rPr>
              <w:t>The more deprived the SIMD quintile, the more likely a child was at risk of overweight/obesity</w:t>
            </w:r>
          </w:p>
          <w:p w14:paraId="0392EB4A" w14:textId="77777777" w:rsidR="00DC519F" w:rsidRPr="00B70107" w:rsidRDefault="00DC519F" w:rsidP="001A01DC">
            <w:pPr>
              <w:autoSpaceDE w:val="0"/>
              <w:autoSpaceDN w:val="0"/>
              <w:adjustRightInd w:val="0"/>
              <w:rPr>
                <w:rFonts w:asciiTheme="majorHAnsi" w:hAnsiTheme="majorHAnsi" w:cstheme="majorHAnsi"/>
                <w:bCs/>
                <w:sz w:val="20"/>
                <w:szCs w:val="20"/>
              </w:rPr>
            </w:pPr>
          </w:p>
          <w:p w14:paraId="15A5BF52" w14:textId="766B8722" w:rsidR="00DC519F" w:rsidRPr="00B70107" w:rsidDel="004E6523" w:rsidRDefault="00DC519F" w:rsidP="00C7505C">
            <w:pPr>
              <w:autoSpaceDE w:val="0"/>
              <w:autoSpaceDN w:val="0"/>
              <w:adjustRightInd w:val="0"/>
              <w:rPr>
                <w:rFonts w:asciiTheme="majorHAnsi" w:hAnsiTheme="majorHAnsi" w:cstheme="majorHAnsi"/>
                <w:sz w:val="20"/>
                <w:szCs w:val="20"/>
              </w:rPr>
            </w:pPr>
            <w:r w:rsidRPr="00B70107">
              <w:rPr>
                <w:rFonts w:asciiTheme="majorHAnsi" w:hAnsiTheme="majorHAnsi" w:cstheme="majorHAnsi"/>
                <w:bCs/>
                <w:sz w:val="20"/>
                <w:szCs w:val="20"/>
              </w:rPr>
              <w:t>Those in the most deprived areas were twice as likely to beat risk of being overweight/obese than those in the least deprived areas.</w:t>
            </w:r>
          </w:p>
        </w:tc>
        <w:tc>
          <w:tcPr>
            <w:tcW w:w="2693" w:type="dxa"/>
          </w:tcPr>
          <w:p w14:paraId="12A96D75" w14:textId="77777777" w:rsidR="00DC519F" w:rsidRPr="00B70107" w:rsidRDefault="00DC519F" w:rsidP="001A01DC">
            <w:pPr>
              <w:rPr>
                <w:rFonts w:asciiTheme="majorHAnsi" w:hAnsiTheme="majorHAnsi" w:cstheme="majorHAnsi"/>
                <w:iCs/>
                <w:sz w:val="20"/>
                <w:szCs w:val="20"/>
              </w:rPr>
            </w:pPr>
            <w:r w:rsidRPr="00B70107">
              <w:rPr>
                <w:rFonts w:asciiTheme="majorHAnsi" w:hAnsiTheme="majorHAnsi" w:cstheme="majorHAnsi"/>
                <w:iCs/>
                <w:sz w:val="20"/>
                <w:szCs w:val="20"/>
              </w:rPr>
              <w:t>Only surveys P1s.</w:t>
            </w:r>
          </w:p>
          <w:p w14:paraId="08D8CB9E" w14:textId="77777777" w:rsidR="00DC519F" w:rsidRPr="00B70107" w:rsidRDefault="00DC519F" w:rsidP="001A01DC">
            <w:pPr>
              <w:rPr>
                <w:rFonts w:asciiTheme="majorHAnsi" w:hAnsiTheme="majorHAnsi" w:cstheme="majorHAnsi"/>
                <w:iCs/>
                <w:sz w:val="20"/>
                <w:szCs w:val="20"/>
              </w:rPr>
            </w:pPr>
          </w:p>
          <w:p w14:paraId="00082307" w14:textId="77777777" w:rsidR="00DC519F" w:rsidRPr="00B70107" w:rsidRDefault="00DC519F" w:rsidP="001A01DC">
            <w:pPr>
              <w:rPr>
                <w:rFonts w:asciiTheme="majorHAnsi" w:hAnsiTheme="majorHAnsi" w:cstheme="majorHAnsi"/>
                <w:iCs/>
                <w:sz w:val="20"/>
                <w:szCs w:val="20"/>
              </w:rPr>
            </w:pPr>
            <w:r w:rsidRPr="00B70107">
              <w:rPr>
                <w:rFonts w:asciiTheme="majorHAnsi" w:hAnsiTheme="majorHAnsi" w:cstheme="majorHAnsi"/>
                <w:iCs/>
                <w:sz w:val="20"/>
                <w:szCs w:val="20"/>
              </w:rPr>
              <w:t>More recent data was available (see 2020 findings)</w:t>
            </w:r>
          </w:p>
          <w:p w14:paraId="5334609D" w14:textId="77777777" w:rsidR="00DC519F" w:rsidRPr="00B70107" w:rsidRDefault="00DC519F" w:rsidP="001A01DC">
            <w:pPr>
              <w:rPr>
                <w:rFonts w:asciiTheme="majorHAnsi" w:hAnsiTheme="majorHAnsi" w:cstheme="majorHAnsi"/>
                <w:iCs/>
                <w:sz w:val="20"/>
                <w:szCs w:val="20"/>
              </w:rPr>
            </w:pPr>
          </w:p>
          <w:p w14:paraId="1B6B5329" w14:textId="77777777" w:rsidR="00DC519F" w:rsidRPr="00B70107" w:rsidRDefault="00DC519F" w:rsidP="001A01DC">
            <w:pPr>
              <w:rPr>
                <w:rFonts w:asciiTheme="majorHAnsi" w:hAnsiTheme="majorHAnsi" w:cstheme="majorHAnsi"/>
                <w:sz w:val="20"/>
                <w:szCs w:val="20"/>
              </w:rPr>
            </w:pPr>
          </w:p>
        </w:tc>
      </w:tr>
    </w:tbl>
    <w:p w14:paraId="7037F288" w14:textId="77777777" w:rsidR="00DC519F" w:rsidRPr="00B70107" w:rsidRDefault="00DC519F" w:rsidP="00DC519F">
      <w:pPr>
        <w:spacing w:line="240" w:lineRule="auto"/>
        <w:rPr>
          <w:b/>
          <w:u w:val="single"/>
        </w:rPr>
      </w:pPr>
    </w:p>
    <w:p w14:paraId="2D6039A1" w14:textId="28C5AC35" w:rsidR="00DC519F" w:rsidRPr="00B70107" w:rsidRDefault="00DC519F" w:rsidP="00DC519F">
      <w:pPr>
        <w:rPr>
          <w:rFonts w:eastAsia="Times New Roman" w:cstheme="minorHAnsi"/>
          <w:b/>
          <w:bCs/>
          <w:kern w:val="36"/>
          <w:sz w:val="20"/>
          <w:szCs w:val="20"/>
          <w:lang w:eastAsia="en-GB"/>
        </w:rPr>
      </w:pPr>
    </w:p>
    <w:p w14:paraId="426C3602" w14:textId="443EE034" w:rsidR="00EB4260" w:rsidRPr="00B70107" w:rsidRDefault="00EB4260" w:rsidP="00DC519F">
      <w:pPr>
        <w:rPr>
          <w:rFonts w:eastAsia="Times New Roman" w:cstheme="minorHAnsi"/>
          <w:b/>
          <w:bCs/>
          <w:kern w:val="36"/>
          <w:sz w:val="20"/>
          <w:szCs w:val="20"/>
          <w:lang w:eastAsia="en-GB"/>
        </w:rPr>
      </w:pPr>
    </w:p>
    <w:p w14:paraId="28458A51" w14:textId="7D3D9664" w:rsidR="001677A3" w:rsidRPr="00B70107" w:rsidRDefault="00A63896" w:rsidP="00BD2BA8">
      <w:pPr>
        <w:rPr>
          <w:b/>
          <w:sz w:val="28"/>
          <w:szCs w:val="28"/>
        </w:rPr>
      </w:pPr>
      <w:r>
        <w:rPr>
          <w:b/>
          <w:sz w:val="28"/>
          <w:szCs w:val="28"/>
        </w:rPr>
        <w:t xml:space="preserve">Table 6 Data Considered for the Community and </w:t>
      </w:r>
      <w:r w:rsidR="00EB4260" w:rsidRPr="00B70107">
        <w:rPr>
          <w:b/>
          <w:sz w:val="28"/>
          <w:szCs w:val="28"/>
        </w:rPr>
        <w:t>Environment</w:t>
      </w:r>
      <w:r>
        <w:rPr>
          <w:b/>
          <w:sz w:val="28"/>
          <w:szCs w:val="28"/>
        </w:rPr>
        <w:t xml:space="preserve"> Indicator</w:t>
      </w: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37"/>
        <w:gridCol w:w="2043"/>
        <w:gridCol w:w="2551"/>
        <w:gridCol w:w="2694"/>
        <w:gridCol w:w="1617"/>
      </w:tblGrid>
      <w:tr w:rsidR="003831EA" w:rsidRPr="00B70107" w14:paraId="185DAB49" w14:textId="77777777" w:rsidTr="001C08BD">
        <w:tc>
          <w:tcPr>
            <w:tcW w:w="5037" w:type="dxa"/>
            <w:tcBorders>
              <w:top w:val="single" w:sz="6" w:space="0" w:color="auto"/>
              <w:left w:val="single" w:sz="6" w:space="0" w:color="auto"/>
              <w:bottom w:val="single" w:sz="6" w:space="0" w:color="auto"/>
              <w:right w:val="single" w:sz="6" w:space="0" w:color="auto"/>
            </w:tcBorders>
            <w:shd w:val="clear" w:color="auto" w:fill="auto"/>
            <w:hideMark/>
          </w:tcPr>
          <w:p w14:paraId="0BC943E4" w14:textId="77777777" w:rsidR="003831EA" w:rsidRPr="00B70107" w:rsidRDefault="003831EA" w:rsidP="003831EA">
            <w:pPr>
              <w:spacing w:after="0" w:line="240" w:lineRule="auto"/>
              <w:jc w:val="center"/>
              <w:textAlignment w:val="baseline"/>
              <w:rPr>
                <w:rFonts w:eastAsia="Times New Roman" w:cstheme="minorHAnsi"/>
                <w:sz w:val="20"/>
                <w:szCs w:val="20"/>
                <w:lang w:eastAsia="zh-CN"/>
              </w:rPr>
            </w:pPr>
            <w:r w:rsidRPr="00B70107">
              <w:rPr>
                <w:rFonts w:eastAsia="Times New Roman" w:cstheme="minorHAnsi"/>
                <w:b/>
                <w:bCs/>
                <w:sz w:val="20"/>
                <w:szCs w:val="20"/>
                <w:lang w:eastAsia="zh-CN"/>
              </w:rPr>
              <w:t>Survey name, year data collected, name of the report and year report published and link(s) to the document/survey </w:t>
            </w:r>
            <w:r w:rsidRPr="00B70107">
              <w:rPr>
                <w:rFonts w:eastAsia="Times New Roman" w:cstheme="minorHAnsi"/>
                <w:sz w:val="20"/>
                <w:szCs w:val="20"/>
                <w:lang w:eastAsia="zh-CN"/>
              </w:rPr>
              <w:t> </w:t>
            </w:r>
          </w:p>
        </w:tc>
        <w:tc>
          <w:tcPr>
            <w:tcW w:w="2043" w:type="dxa"/>
            <w:tcBorders>
              <w:top w:val="single" w:sz="6" w:space="0" w:color="auto"/>
              <w:left w:val="single" w:sz="6" w:space="0" w:color="auto"/>
              <w:bottom w:val="single" w:sz="6" w:space="0" w:color="auto"/>
              <w:right w:val="single" w:sz="6" w:space="0" w:color="auto"/>
            </w:tcBorders>
            <w:shd w:val="clear" w:color="auto" w:fill="auto"/>
            <w:hideMark/>
          </w:tcPr>
          <w:p w14:paraId="433E3681" w14:textId="77777777" w:rsidR="003831EA" w:rsidRPr="00B70107" w:rsidRDefault="003831EA" w:rsidP="003831EA">
            <w:pPr>
              <w:spacing w:after="0" w:line="240" w:lineRule="auto"/>
              <w:jc w:val="center"/>
              <w:textAlignment w:val="baseline"/>
              <w:rPr>
                <w:rFonts w:eastAsia="Times New Roman" w:cstheme="minorHAnsi"/>
                <w:sz w:val="20"/>
                <w:szCs w:val="20"/>
                <w:lang w:eastAsia="zh-CN"/>
              </w:rPr>
            </w:pPr>
            <w:r w:rsidRPr="00B70107">
              <w:rPr>
                <w:rFonts w:eastAsia="Times New Roman" w:cstheme="minorHAnsi"/>
                <w:b/>
                <w:bCs/>
                <w:sz w:val="20"/>
                <w:szCs w:val="20"/>
                <w:lang w:eastAsia="zh-CN"/>
              </w:rPr>
              <w:t>Details of participants </w:t>
            </w:r>
            <w:r w:rsidRPr="00B70107">
              <w:rPr>
                <w:rFonts w:eastAsia="Times New Roman" w:cstheme="minorHAnsi"/>
                <w:sz w:val="20"/>
                <w:szCs w:val="20"/>
                <w:lang w:eastAsia="zh-CN"/>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4BDC0F0" w14:textId="77777777" w:rsidR="003831EA" w:rsidRPr="00B70107" w:rsidRDefault="003831EA" w:rsidP="003831EA">
            <w:pPr>
              <w:spacing w:after="0" w:line="240" w:lineRule="auto"/>
              <w:jc w:val="center"/>
              <w:textAlignment w:val="baseline"/>
              <w:rPr>
                <w:rFonts w:eastAsia="Times New Roman" w:cstheme="minorHAnsi"/>
                <w:sz w:val="20"/>
                <w:szCs w:val="20"/>
                <w:lang w:eastAsia="zh-CN"/>
              </w:rPr>
            </w:pPr>
            <w:r w:rsidRPr="00B70107">
              <w:rPr>
                <w:rFonts w:eastAsia="Times New Roman" w:cstheme="minorHAnsi"/>
                <w:b/>
                <w:bCs/>
                <w:sz w:val="20"/>
                <w:szCs w:val="20"/>
                <w:lang w:eastAsia="zh-CN"/>
              </w:rPr>
              <w:t>Method of measurement (including the questions asked in the survey to measure the indicator) </w:t>
            </w:r>
            <w:r w:rsidRPr="00B70107">
              <w:rPr>
                <w:rFonts w:eastAsia="Times New Roman" w:cstheme="minorHAnsi"/>
                <w:sz w:val="20"/>
                <w:szCs w:val="20"/>
                <w:lang w:eastAsia="zh-CN"/>
              </w:rPr>
              <w: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3E9F9B5E" w14:textId="77777777" w:rsidR="003831EA" w:rsidRPr="00B70107" w:rsidRDefault="003831EA" w:rsidP="003831EA">
            <w:pPr>
              <w:spacing w:after="0" w:line="240" w:lineRule="auto"/>
              <w:jc w:val="center"/>
              <w:textAlignment w:val="baseline"/>
              <w:rPr>
                <w:rFonts w:eastAsia="Times New Roman" w:cstheme="minorHAnsi"/>
                <w:sz w:val="20"/>
                <w:szCs w:val="20"/>
                <w:lang w:eastAsia="zh-CN"/>
              </w:rPr>
            </w:pPr>
            <w:r w:rsidRPr="00B70107">
              <w:rPr>
                <w:rFonts w:eastAsia="Times New Roman" w:cstheme="minorHAnsi"/>
                <w:b/>
                <w:bCs/>
                <w:sz w:val="20"/>
                <w:szCs w:val="20"/>
                <w:lang w:eastAsia="zh-CN"/>
              </w:rPr>
              <w:t>Findings </w:t>
            </w:r>
            <w:r w:rsidRPr="00B70107">
              <w:rPr>
                <w:rFonts w:eastAsia="Times New Roman" w:cstheme="minorHAnsi"/>
                <w:sz w:val="20"/>
                <w:szCs w:val="20"/>
                <w:lang w:eastAsia="zh-CN"/>
              </w:rPr>
              <w:t> </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0C18395F" w14:textId="77777777" w:rsidR="003831EA" w:rsidRPr="00B70107" w:rsidRDefault="003831EA" w:rsidP="003831EA">
            <w:pPr>
              <w:spacing w:after="0" w:line="240" w:lineRule="auto"/>
              <w:jc w:val="center"/>
              <w:textAlignment w:val="baseline"/>
              <w:rPr>
                <w:rFonts w:eastAsia="Times New Roman" w:cstheme="minorHAnsi"/>
                <w:sz w:val="20"/>
                <w:szCs w:val="20"/>
                <w:lang w:eastAsia="zh-CN"/>
              </w:rPr>
            </w:pPr>
            <w:r w:rsidRPr="00B70107">
              <w:rPr>
                <w:rFonts w:eastAsia="Times New Roman" w:cstheme="minorHAnsi"/>
                <w:b/>
                <w:bCs/>
                <w:sz w:val="20"/>
                <w:szCs w:val="20"/>
                <w:lang w:eastAsia="zh-CN"/>
              </w:rPr>
              <w:t>Additional comments </w:t>
            </w:r>
            <w:r w:rsidRPr="00B70107">
              <w:rPr>
                <w:rFonts w:eastAsia="Times New Roman" w:cstheme="minorHAnsi"/>
                <w:sz w:val="20"/>
                <w:szCs w:val="20"/>
                <w:lang w:eastAsia="zh-CN"/>
              </w:rPr>
              <w:t> </w:t>
            </w:r>
          </w:p>
        </w:tc>
      </w:tr>
      <w:tr w:rsidR="003831EA" w:rsidRPr="00B70107" w14:paraId="1C905192" w14:textId="77777777" w:rsidTr="001C08BD">
        <w:tc>
          <w:tcPr>
            <w:tcW w:w="5037" w:type="dxa"/>
            <w:tcBorders>
              <w:top w:val="single" w:sz="6" w:space="0" w:color="auto"/>
              <w:left w:val="single" w:sz="6" w:space="0" w:color="auto"/>
              <w:bottom w:val="single" w:sz="6" w:space="0" w:color="auto"/>
              <w:right w:val="single" w:sz="6" w:space="0" w:color="auto"/>
            </w:tcBorders>
            <w:shd w:val="clear" w:color="auto" w:fill="auto"/>
            <w:hideMark/>
          </w:tcPr>
          <w:p w14:paraId="5C80C4B8"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Survey: </w:t>
            </w:r>
            <w:r w:rsidRPr="00B70107">
              <w:rPr>
                <w:rFonts w:eastAsia="Times New Roman" w:cstheme="minorHAnsi"/>
                <w:sz w:val="20"/>
                <w:szCs w:val="20"/>
                <w:lang w:eastAsia="zh-CN"/>
              </w:rPr>
              <w:t>Scottish Household Survey (SHS) 2019 </w:t>
            </w:r>
          </w:p>
          <w:p w14:paraId="53079F55"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Publication: </w:t>
            </w:r>
            <w:r w:rsidRPr="00B70107">
              <w:rPr>
                <w:rFonts w:eastAsia="Times New Roman" w:cstheme="minorHAnsi"/>
                <w:sz w:val="20"/>
                <w:szCs w:val="20"/>
                <w:lang w:eastAsia="zh-CN"/>
              </w:rPr>
              <w:t>Scotland's People Annual Report: Results from the 2019 Scottish Household Survey  </w:t>
            </w:r>
          </w:p>
          <w:p w14:paraId="66786D92"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3510773F" w14:textId="77777777" w:rsidR="003831EA" w:rsidRPr="00B70107" w:rsidRDefault="00F1041F" w:rsidP="003831EA">
            <w:pPr>
              <w:spacing w:after="0" w:line="240" w:lineRule="auto"/>
              <w:textAlignment w:val="baseline"/>
              <w:rPr>
                <w:rFonts w:eastAsia="Times New Roman" w:cstheme="minorHAnsi"/>
                <w:sz w:val="20"/>
                <w:szCs w:val="20"/>
                <w:lang w:eastAsia="zh-CN"/>
              </w:rPr>
            </w:pPr>
            <w:hyperlink r:id="rId44" w:tgtFrame="_blank" w:history="1">
              <w:r w:rsidR="003831EA" w:rsidRPr="00B70107">
                <w:rPr>
                  <w:rFonts w:eastAsia="Times New Roman" w:cstheme="minorHAnsi"/>
                  <w:sz w:val="20"/>
                  <w:szCs w:val="20"/>
                  <w:u w:val="single"/>
                  <w:lang w:eastAsia="zh-CN"/>
                </w:rPr>
                <w:t>https://www.gov.scot/publications/scottish-household-survey-2019-annual-report/</w:t>
              </w:r>
            </w:hyperlink>
            <w:r w:rsidR="003831EA" w:rsidRPr="00B70107">
              <w:rPr>
                <w:rFonts w:eastAsia="Times New Roman" w:cstheme="minorHAnsi"/>
                <w:sz w:val="20"/>
                <w:szCs w:val="20"/>
                <w:lang w:eastAsia="zh-CN"/>
              </w:rPr>
              <w:t> </w:t>
            </w:r>
          </w:p>
          <w:p w14:paraId="53BB735E"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5945C1ED"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2043" w:type="dxa"/>
            <w:tcBorders>
              <w:top w:val="single" w:sz="6" w:space="0" w:color="auto"/>
              <w:left w:val="single" w:sz="6" w:space="0" w:color="auto"/>
              <w:bottom w:val="single" w:sz="6" w:space="0" w:color="auto"/>
              <w:right w:val="single" w:sz="6" w:space="0" w:color="auto"/>
            </w:tcBorders>
            <w:shd w:val="clear" w:color="auto" w:fill="auto"/>
            <w:hideMark/>
          </w:tcPr>
          <w:p w14:paraId="642D86B3"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195668E" w14:textId="77777777" w:rsidR="003831EA" w:rsidRPr="00B70107" w:rsidRDefault="003831EA" w:rsidP="003831EA">
            <w:pPr>
              <w:spacing w:after="0" w:line="240" w:lineRule="auto"/>
              <w:jc w:val="center"/>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1B8C3426" w14:textId="77777777" w:rsidR="003831EA" w:rsidRPr="00B70107" w:rsidRDefault="003831EA" w:rsidP="003831EA">
            <w:pPr>
              <w:spacing w:after="0" w:line="240" w:lineRule="auto"/>
              <w:jc w:val="center"/>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6CB9521F"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Since publication of the previous report card, the SHS has not asked questions in relation to children’s perceived safety, access to, and availability of play in their neighbourhood.  </w:t>
            </w:r>
          </w:p>
        </w:tc>
      </w:tr>
      <w:tr w:rsidR="00A63896" w:rsidRPr="00B70107" w14:paraId="21281CD9" w14:textId="77777777" w:rsidTr="00A63896">
        <w:trPr>
          <w:trHeight w:val="3529"/>
        </w:trPr>
        <w:tc>
          <w:tcPr>
            <w:tcW w:w="5037" w:type="dxa"/>
            <w:tcBorders>
              <w:top w:val="single" w:sz="6" w:space="0" w:color="auto"/>
              <w:left w:val="single" w:sz="6" w:space="0" w:color="auto"/>
              <w:bottom w:val="single" w:sz="6" w:space="0" w:color="auto"/>
              <w:right w:val="single" w:sz="6" w:space="0" w:color="auto"/>
            </w:tcBorders>
            <w:shd w:val="clear" w:color="auto" w:fill="auto"/>
            <w:hideMark/>
          </w:tcPr>
          <w:p w14:paraId="67960D80"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Survey:</w:t>
            </w:r>
            <w:r w:rsidRPr="00B70107">
              <w:rPr>
                <w:rFonts w:eastAsia="Times New Roman" w:cstheme="minorHAnsi"/>
                <w:sz w:val="20"/>
                <w:szCs w:val="20"/>
                <w:lang w:eastAsia="zh-CN"/>
              </w:rPr>
              <w:t> Scottish Household Survey (SHS) 2018 </w:t>
            </w:r>
          </w:p>
          <w:p w14:paraId="0290E1F0"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Publication: Scotland's People Annual Report: Results from the 2019 Scottish Household Survey  </w:t>
            </w:r>
          </w:p>
          <w:p w14:paraId="0B38600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0CC883A0" w14:textId="77777777" w:rsidR="003831EA" w:rsidRPr="00B70107" w:rsidRDefault="00F1041F" w:rsidP="003831EA">
            <w:pPr>
              <w:spacing w:after="0" w:line="240" w:lineRule="auto"/>
              <w:textAlignment w:val="baseline"/>
              <w:rPr>
                <w:rFonts w:eastAsia="Times New Roman" w:cstheme="minorHAnsi"/>
                <w:sz w:val="20"/>
                <w:szCs w:val="20"/>
                <w:lang w:eastAsia="zh-CN"/>
              </w:rPr>
            </w:pPr>
            <w:hyperlink r:id="rId45" w:tgtFrame="_blank" w:history="1">
              <w:r w:rsidR="003831EA" w:rsidRPr="00B70107">
                <w:rPr>
                  <w:rFonts w:eastAsia="Times New Roman" w:cstheme="minorHAnsi"/>
                  <w:sz w:val="20"/>
                  <w:szCs w:val="20"/>
                  <w:u w:val="single"/>
                  <w:lang w:eastAsia="zh-CN"/>
                </w:rPr>
                <w:t>https://www.gov.scot/publications/scotlands-people-annual-report-results-2018-scottish-household-survey/</w:t>
              </w:r>
            </w:hyperlink>
            <w:r w:rsidR="003831EA" w:rsidRPr="00B70107">
              <w:rPr>
                <w:rFonts w:eastAsia="Times New Roman" w:cstheme="minorHAnsi"/>
                <w:sz w:val="20"/>
                <w:szCs w:val="20"/>
                <w:lang w:eastAsia="zh-CN"/>
              </w:rPr>
              <w:t> </w:t>
            </w:r>
          </w:p>
          <w:p w14:paraId="036E5980"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2043" w:type="dxa"/>
            <w:tcBorders>
              <w:top w:val="single" w:sz="6" w:space="0" w:color="auto"/>
              <w:left w:val="single" w:sz="6" w:space="0" w:color="auto"/>
              <w:bottom w:val="single" w:sz="6" w:space="0" w:color="auto"/>
              <w:right w:val="single" w:sz="6" w:space="0" w:color="auto"/>
            </w:tcBorders>
            <w:shd w:val="clear" w:color="auto" w:fill="auto"/>
            <w:hideMark/>
          </w:tcPr>
          <w:p w14:paraId="3B6C398D"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Nationally representative survey, 10,532 household interviews completed (9,702 adult interviews completed).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1E8B60C"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Methods:</w:t>
            </w:r>
            <w:r w:rsidRPr="00B70107">
              <w:rPr>
                <w:rFonts w:eastAsia="Times New Roman" w:cstheme="minorHAnsi"/>
                <w:sz w:val="20"/>
                <w:szCs w:val="20"/>
                <w:lang w:eastAsia="zh-CN"/>
              </w:rPr>
              <w:t> The household component of the survey is completed by the household reference person </w:t>
            </w:r>
          </w:p>
          <w:p w14:paraId="179CC121"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73A9CF80"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Questions: </w:t>
            </w:r>
            <w:r w:rsidRPr="00B70107">
              <w:rPr>
                <w:rFonts w:eastAsia="Times New Roman" w:cstheme="minorHAnsi"/>
                <w:sz w:val="20"/>
                <w:szCs w:val="20"/>
                <w:lang w:eastAsia="zh-CN"/>
              </w:rPr>
              <w:t>a)</w:t>
            </w:r>
            <w:r w:rsidRPr="00B70107">
              <w:rPr>
                <w:rFonts w:eastAsia="Times New Roman" w:cstheme="minorHAnsi"/>
                <w:b/>
                <w:bCs/>
                <w:sz w:val="20"/>
                <w:szCs w:val="20"/>
                <w:lang w:eastAsia="zh-CN"/>
              </w:rPr>
              <w:t> </w:t>
            </w:r>
            <w:r w:rsidRPr="00B70107">
              <w:rPr>
                <w:rFonts w:eastAsia="Times New Roman" w:cstheme="minorHAnsi"/>
                <w:sz w:val="20"/>
                <w:szCs w:val="20"/>
                <w:lang w:eastAsia="zh-CN"/>
              </w:rPr>
              <w:t>Frequency of visits made to the outdoors (by SIMD, urban/rural, age).  </w:t>
            </w:r>
          </w:p>
          <w:p w14:paraId="548A4A6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b) % of adults withing walking Distance to Local Greenspace (by SIMD) </w:t>
            </w:r>
          </w:p>
          <w:p w14:paraId="58551048"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525E8334" w14:textId="1FB2C041" w:rsidR="003831EA" w:rsidRPr="00B70107" w:rsidRDefault="007B10F8" w:rsidP="007B10F8">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a</w:t>
            </w:r>
            <w:r w:rsidR="00805954" w:rsidRPr="00B70107">
              <w:rPr>
                <w:rFonts w:eastAsia="Times New Roman" w:cstheme="minorHAnsi"/>
                <w:sz w:val="20"/>
                <w:szCs w:val="20"/>
                <w:lang w:eastAsia="zh-CN"/>
              </w:rPr>
              <w:t>)</w:t>
            </w:r>
            <w:r w:rsidRPr="00B70107">
              <w:rPr>
                <w:rFonts w:eastAsia="Times New Roman" w:cstheme="minorHAnsi"/>
                <w:sz w:val="20"/>
                <w:szCs w:val="20"/>
                <w:lang w:eastAsia="zh-CN"/>
              </w:rPr>
              <w:t xml:space="preserve"> </w:t>
            </w:r>
            <w:r w:rsidR="003831EA" w:rsidRPr="00B70107">
              <w:rPr>
                <w:rFonts w:eastAsia="Times New Roman" w:cstheme="minorHAnsi"/>
                <w:sz w:val="20"/>
                <w:szCs w:val="20"/>
                <w:lang w:eastAsia="zh-CN"/>
              </w:rPr>
              <w:t>Frequency of visits made to the outdoor cannot used for grading because it refers to frequency of visits to the outdoors by adults generally rather than specific features of the environment which may promote or inhibit physical activity </w:t>
            </w:r>
          </w:p>
          <w:p w14:paraId="0EDC550F"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35B7DAE5" w14:textId="65B8754B" w:rsidR="003831EA" w:rsidRPr="00B70107" w:rsidRDefault="007B10F8" w:rsidP="007B10F8">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b</w:t>
            </w:r>
            <w:r w:rsidR="00805954" w:rsidRPr="00B70107">
              <w:rPr>
                <w:rFonts w:eastAsia="Times New Roman" w:cstheme="minorHAnsi"/>
                <w:sz w:val="20"/>
                <w:szCs w:val="20"/>
                <w:lang w:eastAsia="zh-CN"/>
              </w:rPr>
              <w:t>)</w:t>
            </w:r>
            <w:r w:rsidRPr="00B70107">
              <w:rPr>
                <w:rFonts w:eastAsia="Times New Roman" w:cstheme="minorHAnsi"/>
                <w:sz w:val="20"/>
                <w:szCs w:val="20"/>
                <w:lang w:eastAsia="zh-CN"/>
              </w:rPr>
              <w:t xml:space="preserve"> </w:t>
            </w:r>
            <w:r w:rsidR="003831EA" w:rsidRPr="00B70107">
              <w:rPr>
                <w:rFonts w:eastAsia="Times New Roman" w:cstheme="minorHAnsi"/>
                <w:sz w:val="20"/>
                <w:szCs w:val="20"/>
                <w:lang w:eastAsia="zh-CN"/>
              </w:rPr>
              <w:t>Walking Distance to Local Greenspace (by SIMD) </w:t>
            </w:r>
          </w:p>
          <w:p w14:paraId="695550BD"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Up to 5 mins: 65% </w:t>
            </w:r>
          </w:p>
          <w:p w14:paraId="090762CB"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6-10 mins: 21% </w:t>
            </w:r>
          </w:p>
          <w:p w14:paraId="7B65AA15"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11 minutes or more: 12% </w:t>
            </w:r>
          </w:p>
          <w:p w14:paraId="063AEB82"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Don’t know: 1%  </w:t>
            </w:r>
          </w:p>
          <w:p w14:paraId="1D6981B7"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73A218C0"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By SIMD</w:t>
            </w:r>
            <w:r w:rsidRPr="00B70107">
              <w:rPr>
                <w:rFonts w:eastAsia="Times New Roman" w:cstheme="minorHAnsi"/>
                <w:sz w:val="20"/>
                <w:szCs w:val="20"/>
                <w:lang w:eastAsia="zh-CN"/>
              </w:rPr>
              <w:t> </w:t>
            </w:r>
          </w:p>
          <w:p w14:paraId="2C9C84B3"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A 5 minute walk or less: SIMD 1= 58, SIMD 2= 63, SIMD 3= 68, SIMD 4= 69, SIMD 5= 68  </w:t>
            </w:r>
          </w:p>
          <w:p w14:paraId="0B9B7FC0"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Within a 6-10 minute walk: SIMD 1= 26, SIMD 2= 22, SIMD 3= 20, SIMD 4= 17, SIMD 5= 22  </w:t>
            </w:r>
          </w:p>
          <w:p w14:paraId="6780AF7B"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11 minute walk or greater: SIMD 1= 14, SIMD 2= 13, SIMD 3= 11, SIMD 4= 12, SIMD 5= 10  </w:t>
            </w:r>
          </w:p>
          <w:p w14:paraId="4ED8ED81"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Don't Know: SIMD 1= 3, SIMD 2= 2, SIMD 3= 1, SIMD 4= 1, SIMD 5= 1  </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731C564F"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Since publication of the previous report card, the SHS has not asked questions in relation to children’s perceived safety, access to, and availability of play in their neighbourhood. </w:t>
            </w:r>
          </w:p>
        </w:tc>
      </w:tr>
      <w:tr w:rsidR="003831EA" w:rsidRPr="00B70107" w14:paraId="3A059D7C" w14:textId="77777777" w:rsidTr="001C08BD">
        <w:tc>
          <w:tcPr>
            <w:tcW w:w="5037" w:type="dxa"/>
            <w:tcBorders>
              <w:top w:val="single" w:sz="6" w:space="0" w:color="auto"/>
              <w:left w:val="single" w:sz="6" w:space="0" w:color="auto"/>
              <w:bottom w:val="single" w:sz="6" w:space="0" w:color="auto"/>
              <w:right w:val="single" w:sz="6" w:space="0" w:color="auto"/>
            </w:tcBorders>
            <w:shd w:val="clear" w:color="auto" w:fill="auto"/>
            <w:hideMark/>
          </w:tcPr>
          <w:p w14:paraId="1AE765F5"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Survey: </w:t>
            </w:r>
            <w:r w:rsidRPr="00B70107">
              <w:rPr>
                <w:rFonts w:eastAsia="Times New Roman" w:cstheme="minorHAnsi"/>
                <w:sz w:val="20"/>
                <w:szCs w:val="20"/>
                <w:lang w:eastAsia="zh-CN"/>
              </w:rPr>
              <w:t>Findings from the HBSC 2018 survey in Scotland health behaviour in school-aged children: world health organization collaborative cross-national study  </w:t>
            </w:r>
          </w:p>
          <w:p w14:paraId="3A3F3987"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268EBB7F" w14:textId="77777777" w:rsidR="003831EA" w:rsidRPr="00B70107" w:rsidRDefault="00F1041F" w:rsidP="003831EA">
            <w:pPr>
              <w:spacing w:after="0" w:line="240" w:lineRule="auto"/>
              <w:textAlignment w:val="baseline"/>
              <w:rPr>
                <w:rFonts w:eastAsia="Times New Roman" w:cstheme="minorHAnsi"/>
                <w:sz w:val="20"/>
                <w:szCs w:val="20"/>
                <w:lang w:eastAsia="zh-CN"/>
              </w:rPr>
            </w:pPr>
            <w:hyperlink r:id="rId46" w:tgtFrame="_blank" w:history="1">
              <w:r w:rsidR="003831EA" w:rsidRPr="00B70107">
                <w:rPr>
                  <w:rFonts w:eastAsia="Times New Roman" w:cstheme="minorHAnsi"/>
                  <w:sz w:val="20"/>
                  <w:szCs w:val="20"/>
                  <w:u w:val="single"/>
                  <w:lang w:eastAsia="zh-CN"/>
                </w:rPr>
                <w:t>http://www.hbsc.org/membership/countries/scotland.html</w:t>
              </w:r>
            </w:hyperlink>
            <w:r w:rsidR="003831EA" w:rsidRPr="00B70107">
              <w:rPr>
                <w:rFonts w:eastAsia="Times New Roman" w:cstheme="minorHAnsi"/>
                <w:sz w:val="20"/>
                <w:szCs w:val="20"/>
                <w:lang w:eastAsia="zh-CN"/>
              </w:rPr>
              <w:t> </w:t>
            </w:r>
          </w:p>
          <w:p w14:paraId="4CBBCD9B"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2043" w:type="dxa"/>
            <w:tcBorders>
              <w:top w:val="single" w:sz="6" w:space="0" w:color="auto"/>
              <w:left w:val="single" w:sz="6" w:space="0" w:color="auto"/>
              <w:bottom w:val="single" w:sz="6" w:space="0" w:color="auto"/>
              <w:right w:val="single" w:sz="6" w:space="0" w:color="auto"/>
            </w:tcBorders>
            <w:shd w:val="clear" w:color="auto" w:fill="auto"/>
            <w:hideMark/>
          </w:tcPr>
          <w:p w14:paraId="5BCB7E4F"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A nationally representative sample of 5286 children aged 11 years (P7), 13 years (S2) and 15 years (S4).  </w:t>
            </w:r>
          </w:p>
          <w:p w14:paraId="28B9961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4707C21" w14:textId="77777777" w:rsidR="00A63896" w:rsidRPr="00B70107" w:rsidRDefault="00A63896" w:rsidP="00A63896">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Self-reported measure of perception of physical environment in local area.  </w:t>
            </w:r>
          </w:p>
          <w:p w14:paraId="0A56BFEE" w14:textId="77777777" w:rsidR="00A63896" w:rsidRPr="00B70107" w:rsidRDefault="00A63896" w:rsidP="00A63896">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1EA641D0" w14:textId="3BABC697" w:rsidR="003831EA" w:rsidRPr="00B70107" w:rsidRDefault="00A63896" w:rsidP="00A63896">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Questions:</w:t>
            </w:r>
            <w:r w:rsidRPr="00B70107">
              <w:rPr>
                <w:rFonts w:eastAsia="Times New Roman" w:cstheme="minorHAnsi"/>
                <w:sz w:val="20"/>
                <w:szCs w:val="20"/>
                <w:lang w:eastAsia="zh-CN"/>
              </w:rPr>
              <w:t xml:space="preserve"> a) % who think local area is good to live in (really good, good, OK, not very food, not good at all); b) % who feel safe this often in local area ( Always, most of the time, sometime, rarely or never); c)  It is safe for </w:t>
            </w:r>
            <w:r>
              <w:rPr>
                <w:rFonts w:eastAsia="Times New Roman" w:cstheme="minorHAnsi"/>
                <w:sz w:val="20"/>
                <w:szCs w:val="20"/>
                <w:lang w:eastAsia="zh-CN"/>
              </w:rPr>
              <w:t>younger children to play outside</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6B378973"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a) local area is a good place to live</w:t>
            </w:r>
            <w:r w:rsidRPr="00B70107">
              <w:rPr>
                <w:rFonts w:eastAsia="Times New Roman" w:cstheme="minorHAnsi"/>
                <w:sz w:val="20"/>
                <w:szCs w:val="20"/>
                <w:lang w:eastAsia="zh-CN"/>
              </w:rPr>
              <w:t> </w:t>
            </w:r>
          </w:p>
          <w:p w14:paraId="4CA0E628"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Really good: boys= 45%; girls= 41% </w:t>
            </w:r>
          </w:p>
          <w:p w14:paraId="53AA5D3A"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Good: boys= 27%; girls= 31% </w:t>
            </w:r>
          </w:p>
          <w:p w14:paraId="49C76BF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OK: boys= 23%; girls= 22% </w:t>
            </w:r>
          </w:p>
          <w:p w14:paraId="028599CF"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Not very food: boys= 4%; girls= 3% </w:t>
            </w:r>
          </w:p>
          <w:p w14:paraId="5A6A3AB8"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Not good at all: boys= 2%; girls= 2% </w:t>
            </w:r>
          </w:p>
          <w:p w14:paraId="385B783E"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2820B35F"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b) Feeling safe in local area:</w:t>
            </w:r>
            <w:r w:rsidRPr="00B70107">
              <w:rPr>
                <w:rFonts w:eastAsia="Times New Roman" w:cstheme="minorHAnsi"/>
                <w:sz w:val="20"/>
                <w:szCs w:val="20"/>
                <w:lang w:eastAsia="zh-CN"/>
              </w:rPr>
              <w:t> </w:t>
            </w:r>
          </w:p>
          <w:p w14:paraId="098E1CFB"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Always: boys= 64%; girls= 59% Most of the time: boys= 27%; girls= 31% </w:t>
            </w:r>
          </w:p>
          <w:p w14:paraId="2BFA7804"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Sometime: boys= 7%; girls= 8% </w:t>
            </w:r>
          </w:p>
          <w:p w14:paraId="42DAF91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Rarely or never: boys= 2%; girls= 1% </w:t>
            </w:r>
          </w:p>
          <w:p w14:paraId="65928D58"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42454654" w14:textId="4A823EDA"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c) </w:t>
            </w:r>
          </w:p>
          <w:p w14:paraId="5366B65F" w14:textId="77777777" w:rsidR="003831EA" w:rsidRPr="00B70107" w:rsidRDefault="003831EA" w:rsidP="003831EA">
            <w:pPr>
              <w:spacing w:after="0" w:line="240" w:lineRule="auto"/>
              <w:textAlignment w:val="baseline"/>
              <w:rPr>
                <w:rFonts w:eastAsia="Times New Roman" w:cstheme="minorHAnsi"/>
                <w:b/>
                <w:bCs/>
                <w:sz w:val="20"/>
                <w:szCs w:val="20"/>
                <w:lang w:eastAsia="zh-CN"/>
              </w:rPr>
            </w:pPr>
            <w:r w:rsidRPr="00B70107">
              <w:rPr>
                <w:rFonts w:eastAsia="Times New Roman" w:cstheme="minorHAnsi"/>
                <w:b/>
                <w:bCs/>
                <w:sz w:val="20"/>
                <w:szCs w:val="20"/>
                <w:lang w:eastAsia="zh-CN"/>
              </w:rPr>
              <w:t>It is safe for younger children to play outside:  </w:t>
            </w:r>
          </w:p>
          <w:p w14:paraId="266F3D45"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11–year old boys= 85% </w:t>
            </w:r>
          </w:p>
          <w:p w14:paraId="148E42FB"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11–year old girls= 85% </w:t>
            </w:r>
          </w:p>
          <w:p w14:paraId="30AC5287"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13–year old boys= 85% </w:t>
            </w:r>
          </w:p>
          <w:p w14:paraId="5DE6D97C"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13–year old girls= 81% </w:t>
            </w:r>
          </w:p>
          <w:p w14:paraId="7C325F15"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15–year old boys= 78% </w:t>
            </w:r>
          </w:p>
          <w:p w14:paraId="33769E31"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15–year old girl= 80% </w:t>
            </w:r>
          </w:p>
          <w:p w14:paraId="689F977D"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All= 82% </w:t>
            </w:r>
          </w:p>
          <w:p w14:paraId="4D838082" w14:textId="77777777" w:rsidR="003831EA" w:rsidRPr="00B70107" w:rsidRDefault="003831EA" w:rsidP="003831EA">
            <w:pPr>
              <w:spacing w:after="0" w:line="240" w:lineRule="auto"/>
              <w:textAlignment w:val="baseline"/>
              <w:rPr>
                <w:rFonts w:eastAsia="Times New Roman" w:cstheme="minorHAnsi"/>
                <w:b/>
                <w:bCs/>
                <w:sz w:val="20"/>
                <w:szCs w:val="20"/>
                <w:lang w:eastAsia="zh-CN"/>
              </w:rPr>
            </w:pPr>
            <w:r w:rsidRPr="00B70107">
              <w:rPr>
                <w:rFonts w:eastAsia="Times New Roman" w:cstheme="minorHAnsi"/>
                <w:b/>
                <w:bCs/>
                <w:sz w:val="20"/>
                <w:szCs w:val="20"/>
                <w:lang w:eastAsia="zh-CN"/>
              </w:rPr>
              <w:t>There are good places to spend your free time: </w:t>
            </w:r>
          </w:p>
          <w:p w14:paraId="48E5DCDC"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11–year old boys= 82% </w:t>
            </w:r>
          </w:p>
          <w:p w14:paraId="3556B16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11–year old girls= 80% </w:t>
            </w:r>
          </w:p>
          <w:p w14:paraId="59E068D9"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13–year old boys= 64% </w:t>
            </w:r>
          </w:p>
          <w:p w14:paraId="1123420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13–year old girls= 59% </w:t>
            </w:r>
          </w:p>
          <w:p w14:paraId="10A896F5"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15–year old boys= 57% </w:t>
            </w:r>
          </w:p>
          <w:p w14:paraId="2EB3E004"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15–year old girl= 51% </w:t>
            </w:r>
          </w:p>
          <w:p w14:paraId="45A5B6F8"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All= 66% </w:t>
            </w:r>
          </w:p>
          <w:p w14:paraId="016926CF"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3A027717"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40D8CBF3" w14:textId="77777777" w:rsidR="003831EA" w:rsidRPr="00B70107" w:rsidRDefault="003831EA" w:rsidP="003831EA">
            <w:pPr>
              <w:spacing w:after="0" w:line="240" w:lineRule="auto"/>
              <w:ind w:left="360"/>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581508F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Inequalities: </w:t>
            </w:r>
            <w:r w:rsidRPr="00B70107">
              <w:rPr>
                <w:rFonts w:eastAsia="Times New Roman" w:cstheme="minorHAnsi"/>
                <w:sz w:val="20"/>
                <w:szCs w:val="20"/>
                <w:lang w:eastAsia="zh-CN"/>
              </w:rPr>
              <w:t>There were consistent inequalities in young people’s perceptions of their local neighbourhood. On all measures included, young people from the lowest SES group were more likely to report negative perceptions of their local area </w:t>
            </w:r>
          </w:p>
        </w:tc>
      </w:tr>
      <w:tr w:rsidR="003831EA" w:rsidRPr="00B70107" w14:paraId="542CD93F" w14:textId="77777777" w:rsidTr="001C08BD">
        <w:tc>
          <w:tcPr>
            <w:tcW w:w="5037" w:type="dxa"/>
            <w:tcBorders>
              <w:top w:val="single" w:sz="6" w:space="0" w:color="auto"/>
              <w:left w:val="single" w:sz="6" w:space="0" w:color="auto"/>
              <w:bottom w:val="single" w:sz="6" w:space="0" w:color="auto"/>
              <w:right w:val="single" w:sz="6" w:space="0" w:color="auto"/>
            </w:tcBorders>
            <w:shd w:val="clear" w:color="auto" w:fill="auto"/>
            <w:hideMark/>
          </w:tcPr>
          <w:p w14:paraId="047768E7"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b/>
                <w:bCs/>
                <w:sz w:val="20"/>
                <w:szCs w:val="20"/>
                <w:lang w:eastAsia="zh-CN"/>
              </w:rPr>
              <w:t>Publication:</w:t>
            </w:r>
            <w:r w:rsidRPr="00B70107">
              <w:rPr>
                <w:rFonts w:eastAsia="Times New Roman" w:cstheme="minorHAnsi"/>
                <w:sz w:val="20"/>
                <w:szCs w:val="20"/>
                <w:lang w:eastAsia="zh-CN"/>
              </w:rPr>
              <w:t> Olsen, J.R., Mitchell, R., McCrorie, P. and Ellaway, A., 2019. Children's mobility and environmental exposures in urban landscapes: a cross-sectional study of 10–11 year old Scottish children. Social Science &amp; Medicine, 224, pp.11-22. </w:t>
            </w:r>
          </w:p>
          <w:p w14:paraId="74002B00"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457E8AF9" w14:textId="77777777" w:rsidR="003831EA" w:rsidRPr="00B70107" w:rsidRDefault="00F1041F" w:rsidP="003831EA">
            <w:pPr>
              <w:spacing w:after="0" w:line="240" w:lineRule="auto"/>
              <w:textAlignment w:val="baseline"/>
              <w:rPr>
                <w:rFonts w:eastAsia="Times New Roman" w:cstheme="minorHAnsi"/>
                <w:sz w:val="20"/>
                <w:szCs w:val="20"/>
                <w:lang w:eastAsia="zh-CN"/>
              </w:rPr>
            </w:pPr>
            <w:hyperlink r:id="rId47" w:tgtFrame="_blank" w:history="1">
              <w:r w:rsidR="003831EA" w:rsidRPr="00B70107">
                <w:rPr>
                  <w:rFonts w:eastAsia="Times New Roman" w:cstheme="minorHAnsi"/>
                  <w:sz w:val="20"/>
                  <w:szCs w:val="20"/>
                  <w:u w:val="single"/>
                  <w:lang w:eastAsia="zh-CN"/>
                </w:rPr>
                <w:t>https://www.sciencedirect.com/science/article/pii/S027795361930053X</w:t>
              </w:r>
            </w:hyperlink>
            <w:r w:rsidR="003831EA" w:rsidRPr="00B70107">
              <w:rPr>
                <w:rFonts w:eastAsia="Times New Roman" w:cstheme="minorHAnsi"/>
                <w:sz w:val="20"/>
                <w:szCs w:val="20"/>
                <w:lang w:eastAsia="zh-CN"/>
              </w:rPr>
              <w:t> </w:t>
            </w:r>
          </w:p>
          <w:p w14:paraId="22A6428F"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2043" w:type="dxa"/>
            <w:tcBorders>
              <w:top w:val="single" w:sz="6" w:space="0" w:color="auto"/>
              <w:left w:val="single" w:sz="6" w:space="0" w:color="auto"/>
              <w:bottom w:val="single" w:sz="6" w:space="0" w:color="auto"/>
              <w:right w:val="single" w:sz="6" w:space="0" w:color="auto"/>
            </w:tcBorders>
            <w:shd w:val="clear" w:color="auto" w:fill="auto"/>
            <w:hideMark/>
          </w:tcPr>
          <w:p w14:paraId="5F542218"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A nationally </w:t>
            </w:r>
          </w:p>
          <w:p w14:paraId="39ACCAC3"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representative sample of 10 to 11 year old children. 2162 consented to be contacted for the accelerometery study (known as SPACES). For this study a small sample of 100 children (aged 10 and 11) living in Edinburgh and Glasgow were analysed to determine where children spent their time visiting.  </w:t>
            </w:r>
          </w:p>
          <w:p w14:paraId="34EB5EBA"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449DCEC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5126D8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Children wore GPS devices over 8 consecutive days during waking hours. Location points are recorded every 10 seconds.  </w:t>
            </w:r>
          </w:p>
          <w:p w14:paraId="5F00A79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372A13B6"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Geographical Information Systems (GIS) were used to understand landscape characteristics, such as roads, leisure centres, and greenspace etc. using a 25m</w:t>
            </w:r>
            <w:r w:rsidRPr="00B70107">
              <w:rPr>
                <w:rFonts w:eastAsia="Times New Roman" w:cstheme="minorHAnsi"/>
                <w:sz w:val="20"/>
                <w:szCs w:val="20"/>
                <w:vertAlign w:val="superscript"/>
                <w:lang w:eastAsia="zh-CN"/>
              </w:rPr>
              <w:t>2 </w:t>
            </w:r>
            <w:r w:rsidRPr="00B70107">
              <w:rPr>
                <w:rFonts w:eastAsia="Times New Roman" w:cstheme="minorHAnsi"/>
                <w:sz w:val="20"/>
                <w:szCs w:val="20"/>
                <w:lang w:eastAsia="zh-CN"/>
              </w:rPr>
              <w:t>grid size.  </w:t>
            </w:r>
          </w:p>
          <w:p w14:paraId="64430E5F"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 </w:t>
            </w:r>
          </w:p>
          <w:p w14:paraId="7B8B49DF"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These methods combined inform on time spent in specific locations.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299DD76A" w14:textId="77777777" w:rsidR="003831EA" w:rsidRPr="00B70107" w:rsidRDefault="003831EA" w:rsidP="003831EA">
            <w:pPr>
              <w:spacing w:after="0" w:line="240" w:lineRule="auto"/>
              <w:textAlignment w:val="baseline"/>
              <w:rPr>
                <w:rFonts w:eastAsia="Times New Roman" w:cstheme="minorHAnsi"/>
                <w:sz w:val="20"/>
                <w:szCs w:val="20"/>
                <w:lang w:eastAsia="zh-CN"/>
              </w:rPr>
            </w:pPr>
            <w:r w:rsidRPr="00B70107">
              <w:rPr>
                <w:rFonts w:eastAsia="Times New Roman" w:cstheme="minorHAnsi"/>
                <w:sz w:val="20"/>
                <w:szCs w:val="20"/>
                <w:lang w:eastAsia="zh-CN"/>
              </w:rPr>
              <w:t>Data </w:t>
            </w:r>
            <w:r w:rsidRPr="00B70107">
              <w:rPr>
                <w:rFonts w:eastAsia="Times New Roman" w:cstheme="minorHAnsi"/>
                <w:b/>
                <w:bCs/>
                <w:sz w:val="20"/>
                <w:szCs w:val="20"/>
                <w:u w:val="single"/>
                <w:lang w:eastAsia="zh-CN"/>
              </w:rPr>
              <w:t>cannot</w:t>
            </w:r>
            <w:r w:rsidRPr="00B70107">
              <w:rPr>
                <w:rFonts w:eastAsia="Times New Roman" w:cstheme="minorHAnsi"/>
                <w:sz w:val="20"/>
                <w:szCs w:val="20"/>
                <w:u w:val="single"/>
                <w:lang w:eastAsia="zh-CN"/>
              </w:rPr>
              <w:t> be used for grading</w:t>
            </w:r>
            <w:r w:rsidRPr="00B70107">
              <w:rPr>
                <w:rFonts w:eastAsia="Times New Roman" w:cstheme="minorHAnsi"/>
                <w:sz w:val="20"/>
                <w:szCs w:val="20"/>
                <w:lang w:eastAsia="zh-CN"/>
              </w:rPr>
              <w:t> as data it is limited to a single age group (10 to 11 year olds) and analysis conducted in a small sample of children (n= 100), and only provides time spent in each location.  </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275DCA76" w14:textId="77777777" w:rsidR="003831EA" w:rsidRPr="00B70107" w:rsidRDefault="003831EA" w:rsidP="003831EA">
            <w:pPr>
              <w:spacing w:after="0" w:line="240" w:lineRule="auto"/>
              <w:jc w:val="center"/>
              <w:textAlignment w:val="baseline"/>
              <w:rPr>
                <w:rFonts w:eastAsia="Times New Roman" w:cstheme="minorHAnsi"/>
                <w:sz w:val="20"/>
                <w:szCs w:val="20"/>
                <w:lang w:eastAsia="zh-CN"/>
              </w:rPr>
            </w:pPr>
            <w:r w:rsidRPr="00B70107">
              <w:rPr>
                <w:rFonts w:eastAsia="Times New Roman" w:cstheme="minorHAnsi"/>
                <w:sz w:val="20"/>
                <w:szCs w:val="20"/>
                <w:lang w:eastAsia="zh-CN"/>
              </w:rPr>
              <w:t> </w:t>
            </w:r>
          </w:p>
        </w:tc>
      </w:tr>
    </w:tbl>
    <w:p w14:paraId="2B8FF9FA" w14:textId="7E497ED0" w:rsidR="003831EA" w:rsidRPr="00B70107" w:rsidRDefault="003831EA" w:rsidP="00DC519F">
      <w:pPr>
        <w:rPr>
          <w:b/>
          <w:sz w:val="28"/>
          <w:szCs w:val="28"/>
        </w:rPr>
      </w:pPr>
    </w:p>
    <w:p w14:paraId="6492F50F" w14:textId="77777777" w:rsidR="003831EA" w:rsidRPr="00B70107" w:rsidRDefault="003831EA" w:rsidP="00DC519F">
      <w:pPr>
        <w:rPr>
          <w:b/>
          <w:sz w:val="28"/>
          <w:szCs w:val="28"/>
        </w:rPr>
      </w:pPr>
    </w:p>
    <w:p w14:paraId="36DCBC38" w14:textId="4D2D7DD2" w:rsidR="003831EA" w:rsidRPr="00B70107" w:rsidRDefault="003831EA" w:rsidP="00DC519F">
      <w:pPr>
        <w:rPr>
          <w:b/>
          <w:sz w:val="28"/>
          <w:szCs w:val="28"/>
        </w:rPr>
      </w:pPr>
    </w:p>
    <w:p w14:paraId="6540B415" w14:textId="77777777" w:rsidR="003831EA" w:rsidRPr="00B70107" w:rsidRDefault="003831EA" w:rsidP="00DC519F">
      <w:pPr>
        <w:rPr>
          <w:b/>
          <w:sz w:val="28"/>
          <w:szCs w:val="28"/>
        </w:rPr>
      </w:pPr>
    </w:p>
    <w:p w14:paraId="3A190EE0" w14:textId="77777777" w:rsidR="003831EA" w:rsidRPr="00B70107" w:rsidRDefault="003831EA" w:rsidP="00DC519F">
      <w:pPr>
        <w:rPr>
          <w:b/>
          <w:sz w:val="28"/>
          <w:szCs w:val="28"/>
        </w:rPr>
      </w:pPr>
    </w:p>
    <w:p w14:paraId="492BDBA1" w14:textId="77777777" w:rsidR="00F24A90" w:rsidRPr="00B70107" w:rsidRDefault="00F24A90" w:rsidP="00F24A90">
      <w:pPr>
        <w:rPr>
          <w:rFonts w:eastAsia="Times New Roman" w:cs="Times New Roman"/>
          <w:bCs/>
          <w:kern w:val="36"/>
          <w:sz w:val="32"/>
          <w:szCs w:val="48"/>
          <w:u w:val="single"/>
          <w:lang w:eastAsia="en-GB"/>
        </w:rPr>
      </w:pPr>
    </w:p>
    <w:p w14:paraId="02D73804" w14:textId="3B563461" w:rsidR="00EB4260" w:rsidRPr="00B70107" w:rsidRDefault="00EB4260" w:rsidP="00DC519F">
      <w:pPr>
        <w:rPr>
          <w:rFonts w:eastAsia="Times New Roman" w:cstheme="minorHAnsi"/>
          <w:b/>
          <w:bCs/>
          <w:kern w:val="36"/>
          <w:sz w:val="28"/>
          <w:szCs w:val="28"/>
          <w:lang w:eastAsia="en-GB"/>
        </w:rPr>
      </w:pPr>
    </w:p>
    <w:p w14:paraId="75242F9F" w14:textId="565E4DC8" w:rsidR="00EB4260" w:rsidRPr="00B70107" w:rsidRDefault="00EB4260" w:rsidP="00DC519F">
      <w:pPr>
        <w:rPr>
          <w:rFonts w:eastAsia="Times New Roman" w:cstheme="minorHAnsi"/>
          <w:b/>
          <w:bCs/>
          <w:kern w:val="36"/>
          <w:sz w:val="28"/>
          <w:szCs w:val="28"/>
          <w:lang w:eastAsia="en-GB"/>
        </w:rPr>
      </w:pPr>
    </w:p>
    <w:p w14:paraId="7ADADBAD" w14:textId="54B21746" w:rsidR="00EB4260" w:rsidRPr="00B70107" w:rsidRDefault="00EB4260" w:rsidP="00DC519F">
      <w:pPr>
        <w:rPr>
          <w:rFonts w:eastAsia="Times New Roman" w:cstheme="minorHAnsi"/>
          <w:b/>
          <w:bCs/>
          <w:kern w:val="36"/>
          <w:sz w:val="28"/>
          <w:szCs w:val="28"/>
          <w:lang w:eastAsia="en-GB"/>
        </w:rPr>
      </w:pPr>
    </w:p>
    <w:p w14:paraId="4F33C35A" w14:textId="35AE74C3" w:rsidR="00EB4260" w:rsidRPr="00B70107" w:rsidRDefault="00EB4260" w:rsidP="00DC519F">
      <w:pPr>
        <w:rPr>
          <w:rFonts w:eastAsia="Times New Roman" w:cstheme="minorHAnsi"/>
          <w:b/>
          <w:bCs/>
          <w:kern w:val="36"/>
          <w:sz w:val="28"/>
          <w:szCs w:val="28"/>
          <w:lang w:eastAsia="en-GB"/>
        </w:rPr>
      </w:pPr>
    </w:p>
    <w:p w14:paraId="00C22D8B" w14:textId="51C93ECC" w:rsidR="00EB4260" w:rsidRPr="00B70107" w:rsidRDefault="00EB4260" w:rsidP="00DC519F">
      <w:pPr>
        <w:rPr>
          <w:rFonts w:eastAsia="Times New Roman" w:cstheme="minorHAnsi"/>
          <w:b/>
          <w:bCs/>
          <w:kern w:val="36"/>
          <w:sz w:val="28"/>
          <w:szCs w:val="28"/>
          <w:lang w:eastAsia="en-GB"/>
        </w:rPr>
      </w:pPr>
    </w:p>
    <w:p w14:paraId="307B073B" w14:textId="4D8BC702" w:rsidR="00EB4260" w:rsidRPr="00B70107" w:rsidRDefault="00EB4260" w:rsidP="00DC519F">
      <w:pPr>
        <w:rPr>
          <w:rFonts w:eastAsia="Times New Roman" w:cstheme="minorHAnsi"/>
          <w:b/>
          <w:bCs/>
          <w:kern w:val="36"/>
          <w:sz w:val="28"/>
          <w:szCs w:val="28"/>
          <w:lang w:eastAsia="en-GB"/>
        </w:rPr>
      </w:pPr>
    </w:p>
    <w:p w14:paraId="065E67C1" w14:textId="34F22068" w:rsidR="00EB4260" w:rsidRPr="00B70107" w:rsidRDefault="00EB4260" w:rsidP="00DC519F">
      <w:pPr>
        <w:rPr>
          <w:rFonts w:eastAsia="Times New Roman" w:cstheme="minorHAnsi"/>
          <w:b/>
          <w:bCs/>
          <w:kern w:val="36"/>
          <w:sz w:val="28"/>
          <w:szCs w:val="28"/>
          <w:lang w:eastAsia="en-GB"/>
        </w:rPr>
      </w:pPr>
    </w:p>
    <w:p w14:paraId="47D21564" w14:textId="62214EFF" w:rsidR="00EB4260" w:rsidRPr="00B70107" w:rsidRDefault="00EB4260" w:rsidP="00DC519F">
      <w:pPr>
        <w:rPr>
          <w:rFonts w:eastAsia="Times New Roman" w:cstheme="minorHAnsi"/>
          <w:b/>
          <w:bCs/>
          <w:kern w:val="36"/>
          <w:sz w:val="28"/>
          <w:szCs w:val="28"/>
          <w:lang w:eastAsia="en-GB"/>
        </w:rPr>
      </w:pPr>
    </w:p>
    <w:p w14:paraId="32E08ABE" w14:textId="150256E8" w:rsidR="00EB4260" w:rsidRPr="00B70107" w:rsidRDefault="00EB4260" w:rsidP="00DC519F">
      <w:pPr>
        <w:rPr>
          <w:rFonts w:eastAsia="Times New Roman" w:cstheme="minorHAnsi"/>
          <w:b/>
          <w:bCs/>
          <w:kern w:val="36"/>
          <w:sz w:val="28"/>
          <w:szCs w:val="28"/>
          <w:lang w:eastAsia="en-GB"/>
        </w:rPr>
      </w:pPr>
    </w:p>
    <w:p w14:paraId="20B09426" w14:textId="77777777" w:rsidR="00EB4260" w:rsidRPr="00B70107" w:rsidRDefault="00EB4260" w:rsidP="00DC519F">
      <w:pPr>
        <w:rPr>
          <w:rFonts w:eastAsia="Times New Roman" w:cstheme="minorHAnsi"/>
          <w:b/>
          <w:bCs/>
          <w:kern w:val="36"/>
          <w:sz w:val="28"/>
          <w:szCs w:val="28"/>
          <w:lang w:eastAsia="en-GB"/>
        </w:rPr>
      </w:pPr>
    </w:p>
    <w:p w14:paraId="6E67B14F" w14:textId="5553CBAA" w:rsidR="00D011F2" w:rsidRPr="00B70107" w:rsidRDefault="00EB4260" w:rsidP="00A9610D">
      <w:pPr>
        <w:rPr>
          <w:rFonts w:eastAsia="Times New Roman" w:cs="Times New Roman"/>
          <w:b/>
          <w:bCs/>
          <w:kern w:val="36"/>
          <w:sz w:val="28"/>
          <w:szCs w:val="28"/>
          <w:lang w:eastAsia="en-GB"/>
        </w:rPr>
      </w:pPr>
      <w:r w:rsidRPr="00B70107">
        <w:rPr>
          <w:rFonts w:eastAsia="Times New Roman" w:cs="Times New Roman"/>
          <w:b/>
          <w:bCs/>
          <w:kern w:val="36"/>
          <w:sz w:val="28"/>
          <w:szCs w:val="28"/>
          <w:lang w:eastAsia="en-GB"/>
        </w:rPr>
        <w:t>Table 7</w:t>
      </w:r>
      <w:r w:rsidR="003A5BDC" w:rsidRPr="00B70107">
        <w:rPr>
          <w:rFonts w:eastAsia="Times New Roman" w:cs="Times New Roman"/>
          <w:b/>
          <w:bCs/>
          <w:kern w:val="36"/>
          <w:sz w:val="28"/>
          <w:szCs w:val="28"/>
          <w:lang w:eastAsia="en-GB"/>
        </w:rPr>
        <w:t>.1</w:t>
      </w:r>
      <w:r w:rsidRPr="00B70107">
        <w:rPr>
          <w:rFonts w:eastAsia="Times New Roman" w:cs="Times New Roman"/>
          <w:b/>
          <w:bCs/>
          <w:kern w:val="36"/>
          <w:sz w:val="28"/>
          <w:szCs w:val="28"/>
          <w:lang w:eastAsia="en-GB"/>
        </w:rPr>
        <w:t xml:space="preserve"> </w:t>
      </w:r>
      <w:r w:rsidR="003A5BDC" w:rsidRPr="00B70107">
        <w:rPr>
          <w:rFonts w:eastAsia="Times New Roman" w:cs="Times New Roman"/>
          <w:b/>
          <w:bCs/>
          <w:kern w:val="36"/>
          <w:sz w:val="28"/>
          <w:szCs w:val="28"/>
          <w:lang w:eastAsia="en-GB"/>
        </w:rPr>
        <w:t>Scoring rubric to determine a grade for the Government Indicator (physical activity only)</w:t>
      </w:r>
      <w:r w:rsidR="00A63896">
        <w:rPr>
          <w:rFonts w:eastAsia="Times New Roman" w:cs="Times New Roman"/>
          <w:b/>
          <w:bCs/>
          <w:kern w:val="36"/>
          <w:sz w:val="28"/>
          <w:szCs w:val="28"/>
          <w:lang w:eastAsia="en-GB"/>
        </w:rPr>
        <w:t>; from Ward et al</w:t>
      </w:r>
    </w:p>
    <w:tbl>
      <w:tblPr>
        <w:tblStyle w:val="TableGrid"/>
        <w:tblW w:w="0" w:type="auto"/>
        <w:jc w:val="center"/>
        <w:tblLook w:val="04A0" w:firstRow="1" w:lastRow="0" w:firstColumn="1" w:lastColumn="0" w:noHBand="0" w:noVBand="1"/>
      </w:tblPr>
      <w:tblGrid>
        <w:gridCol w:w="5349"/>
        <w:gridCol w:w="2683"/>
        <w:gridCol w:w="958"/>
        <w:gridCol w:w="2482"/>
        <w:gridCol w:w="959"/>
        <w:gridCol w:w="1517"/>
      </w:tblGrid>
      <w:tr w:rsidR="00D011F2" w:rsidRPr="00B70107" w14:paraId="6FF3710B" w14:textId="77777777" w:rsidTr="0030002E">
        <w:trPr>
          <w:jc w:val="center"/>
        </w:trPr>
        <w:tc>
          <w:tcPr>
            <w:tcW w:w="5864" w:type="dxa"/>
          </w:tcPr>
          <w:p w14:paraId="1B0A0FE6" w14:textId="77777777" w:rsidR="00D011F2" w:rsidRPr="00B70107" w:rsidRDefault="00D011F2" w:rsidP="0030002E">
            <w:pPr>
              <w:rPr>
                <w:rFonts w:ascii="Calibri" w:hAnsi="Calibri" w:cs="Calibri"/>
              </w:rPr>
            </w:pPr>
            <w:r w:rsidRPr="00B70107">
              <w:rPr>
                <w:rFonts w:ascii="Calibri" w:hAnsi="Calibri" w:cs="Calibri"/>
              </w:rPr>
              <w:t>Criterion</w:t>
            </w:r>
          </w:p>
        </w:tc>
        <w:tc>
          <w:tcPr>
            <w:tcW w:w="2920" w:type="dxa"/>
          </w:tcPr>
          <w:p w14:paraId="6C10A91E" w14:textId="77777777" w:rsidR="00D011F2" w:rsidRPr="00B70107" w:rsidRDefault="00D011F2" w:rsidP="0030002E">
            <w:pPr>
              <w:rPr>
                <w:rFonts w:ascii="Calibri" w:hAnsi="Calibri" w:cs="Calibri"/>
              </w:rPr>
            </w:pPr>
            <w:r w:rsidRPr="00B70107">
              <w:rPr>
                <w:rFonts w:ascii="Calibri" w:hAnsi="Calibri" w:cs="Calibri"/>
              </w:rPr>
              <w:t>Scores</w:t>
            </w:r>
          </w:p>
        </w:tc>
        <w:tc>
          <w:tcPr>
            <w:tcW w:w="992" w:type="dxa"/>
          </w:tcPr>
          <w:p w14:paraId="5634D770" w14:textId="77777777" w:rsidR="00D011F2" w:rsidRPr="00B70107" w:rsidRDefault="00D011F2" w:rsidP="0030002E">
            <w:pPr>
              <w:rPr>
                <w:rFonts w:ascii="Calibri" w:hAnsi="Calibri" w:cs="Calibri"/>
              </w:rPr>
            </w:pPr>
          </w:p>
        </w:tc>
        <w:tc>
          <w:tcPr>
            <w:tcW w:w="2693" w:type="dxa"/>
          </w:tcPr>
          <w:p w14:paraId="4439C120" w14:textId="77777777" w:rsidR="00D011F2" w:rsidRPr="00B70107" w:rsidRDefault="00D011F2" w:rsidP="0030002E">
            <w:pPr>
              <w:rPr>
                <w:rFonts w:ascii="Calibri" w:hAnsi="Calibri" w:cs="Calibri"/>
              </w:rPr>
            </w:pPr>
          </w:p>
        </w:tc>
        <w:tc>
          <w:tcPr>
            <w:tcW w:w="993" w:type="dxa"/>
          </w:tcPr>
          <w:p w14:paraId="76B2AF81" w14:textId="77777777" w:rsidR="00D011F2" w:rsidRPr="00B70107" w:rsidRDefault="00D011F2" w:rsidP="0030002E">
            <w:pPr>
              <w:rPr>
                <w:rFonts w:ascii="Calibri" w:hAnsi="Calibri" w:cs="Calibri"/>
              </w:rPr>
            </w:pPr>
          </w:p>
        </w:tc>
        <w:tc>
          <w:tcPr>
            <w:tcW w:w="1630" w:type="dxa"/>
          </w:tcPr>
          <w:p w14:paraId="4003E19F" w14:textId="77777777" w:rsidR="00D011F2" w:rsidRPr="00B70107" w:rsidRDefault="00D011F2" w:rsidP="0030002E">
            <w:pPr>
              <w:rPr>
                <w:rFonts w:ascii="Calibri" w:hAnsi="Calibri" w:cs="Calibri"/>
              </w:rPr>
            </w:pPr>
            <w:r w:rsidRPr="00B70107">
              <w:rPr>
                <w:rFonts w:ascii="Calibri" w:hAnsi="Calibri" w:cs="Calibri"/>
              </w:rPr>
              <w:t>Max total score</w:t>
            </w:r>
          </w:p>
        </w:tc>
      </w:tr>
      <w:tr w:rsidR="00D011F2" w:rsidRPr="00B70107" w14:paraId="05B95398" w14:textId="77777777" w:rsidTr="0030002E">
        <w:trPr>
          <w:trHeight w:val="399"/>
          <w:jc w:val="center"/>
        </w:trPr>
        <w:tc>
          <w:tcPr>
            <w:tcW w:w="5864" w:type="dxa"/>
            <w:vMerge w:val="restart"/>
          </w:tcPr>
          <w:p w14:paraId="69449C7E" w14:textId="77777777" w:rsidR="00D011F2" w:rsidRPr="00B70107" w:rsidRDefault="00D011F2" w:rsidP="0030002E">
            <w:pPr>
              <w:rPr>
                <w:rFonts w:ascii="Calibri" w:hAnsi="Calibri" w:cs="Calibri"/>
                <w:b/>
                <w:bCs/>
              </w:rPr>
            </w:pPr>
            <w:r w:rsidRPr="00B70107">
              <w:rPr>
                <w:rFonts w:ascii="Calibri" w:hAnsi="Calibri" w:cs="Calibri"/>
                <w:b/>
                <w:bCs/>
              </w:rPr>
              <w:t>Number and Breadth of Relevant Policies</w:t>
            </w:r>
          </w:p>
          <w:p w14:paraId="08348463" w14:textId="77777777" w:rsidR="00D011F2" w:rsidRPr="00B70107" w:rsidRDefault="00D011F2" w:rsidP="0030002E">
            <w:pPr>
              <w:rPr>
                <w:rFonts w:ascii="Calibri" w:hAnsi="Calibri" w:cs="Calibri"/>
              </w:rPr>
            </w:pPr>
          </w:p>
          <w:p w14:paraId="61C7920B" w14:textId="77777777" w:rsidR="00D011F2" w:rsidRPr="00B70107" w:rsidRDefault="00D011F2" w:rsidP="0030002E">
            <w:pPr>
              <w:rPr>
                <w:rFonts w:ascii="Calibri" w:hAnsi="Calibri" w:cs="Calibri"/>
              </w:rPr>
            </w:pPr>
            <w:r w:rsidRPr="00B70107">
              <w:rPr>
                <w:rFonts w:ascii="Calibri" w:hAnsi="Calibri" w:cs="Calibri"/>
              </w:rPr>
              <w:t>Policies/ strategies/ action plans that reference physical activity.</w:t>
            </w:r>
          </w:p>
        </w:tc>
        <w:tc>
          <w:tcPr>
            <w:tcW w:w="2920" w:type="dxa"/>
          </w:tcPr>
          <w:p w14:paraId="403AA629" w14:textId="77777777" w:rsidR="00D011F2" w:rsidRPr="00B70107" w:rsidRDefault="00D011F2" w:rsidP="0030002E">
            <w:pPr>
              <w:pStyle w:val="NormalWeb"/>
              <w:shd w:val="clear" w:color="auto" w:fill="FFFFFF"/>
              <w:jc w:val="center"/>
              <w:rPr>
                <w:rFonts w:ascii="Calibri" w:hAnsi="Calibri" w:cs="Calibri"/>
                <w:sz w:val="22"/>
                <w:szCs w:val="22"/>
              </w:rPr>
            </w:pPr>
            <w:r w:rsidRPr="00B70107">
              <w:rPr>
                <w:rFonts w:ascii="Calibri" w:hAnsi="Calibri" w:cs="Calibri"/>
                <w:b/>
                <w:bCs/>
                <w:sz w:val="22"/>
                <w:szCs w:val="22"/>
              </w:rPr>
              <w:t>Policy Number</w:t>
            </w:r>
          </w:p>
        </w:tc>
        <w:tc>
          <w:tcPr>
            <w:tcW w:w="992" w:type="dxa"/>
          </w:tcPr>
          <w:p w14:paraId="25053788" w14:textId="77777777" w:rsidR="00D011F2" w:rsidRPr="00B70107" w:rsidRDefault="00D011F2" w:rsidP="0030002E">
            <w:pPr>
              <w:jc w:val="center"/>
              <w:rPr>
                <w:rFonts w:ascii="Calibri" w:hAnsi="Calibri" w:cs="Calibri"/>
              </w:rPr>
            </w:pPr>
            <w:r w:rsidRPr="00B70107">
              <w:rPr>
                <w:rFonts w:ascii="Calibri" w:hAnsi="Calibri" w:cs="Calibri"/>
              </w:rPr>
              <w:t>Score</w:t>
            </w:r>
          </w:p>
        </w:tc>
        <w:tc>
          <w:tcPr>
            <w:tcW w:w="2693" w:type="dxa"/>
          </w:tcPr>
          <w:p w14:paraId="54301E91" w14:textId="77777777" w:rsidR="00D011F2" w:rsidRPr="00B70107" w:rsidRDefault="00D011F2" w:rsidP="0030002E">
            <w:pPr>
              <w:pStyle w:val="NormalWeb"/>
              <w:shd w:val="clear" w:color="auto" w:fill="FFFFFF"/>
              <w:jc w:val="center"/>
              <w:rPr>
                <w:rFonts w:ascii="Calibri" w:hAnsi="Calibri" w:cs="Calibri"/>
                <w:sz w:val="22"/>
                <w:szCs w:val="22"/>
              </w:rPr>
            </w:pPr>
            <w:r w:rsidRPr="00B70107">
              <w:rPr>
                <w:rFonts w:ascii="Calibri" w:hAnsi="Calibri" w:cs="Calibri"/>
                <w:b/>
                <w:bCs/>
                <w:sz w:val="22"/>
                <w:szCs w:val="22"/>
              </w:rPr>
              <w:t>Policy Breadth (No. of Sectors)</w:t>
            </w:r>
          </w:p>
        </w:tc>
        <w:tc>
          <w:tcPr>
            <w:tcW w:w="993" w:type="dxa"/>
          </w:tcPr>
          <w:p w14:paraId="5511896D" w14:textId="77777777" w:rsidR="00D011F2" w:rsidRPr="00B70107" w:rsidRDefault="00D011F2" w:rsidP="0030002E">
            <w:pPr>
              <w:jc w:val="center"/>
              <w:rPr>
                <w:rFonts w:ascii="Calibri" w:hAnsi="Calibri" w:cs="Calibri"/>
              </w:rPr>
            </w:pPr>
            <w:r w:rsidRPr="00B70107">
              <w:rPr>
                <w:rFonts w:ascii="Calibri" w:hAnsi="Calibri" w:cs="Calibri"/>
              </w:rPr>
              <w:t>Score</w:t>
            </w:r>
          </w:p>
        </w:tc>
        <w:tc>
          <w:tcPr>
            <w:tcW w:w="1630" w:type="dxa"/>
            <w:vMerge w:val="restart"/>
          </w:tcPr>
          <w:p w14:paraId="1CD1F1E4" w14:textId="77777777" w:rsidR="00D011F2" w:rsidRPr="00B70107" w:rsidRDefault="00D011F2" w:rsidP="0030002E">
            <w:pPr>
              <w:jc w:val="center"/>
              <w:rPr>
                <w:rFonts w:ascii="Calibri" w:hAnsi="Calibri" w:cs="Calibri"/>
              </w:rPr>
            </w:pPr>
          </w:p>
          <w:p w14:paraId="625A1887" w14:textId="77777777" w:rsidR="00D011F2" w:rsidRPr="00B70107" w:rsidRDefault="00D011F2" w:rsidP="0030002E">
            <w:pPr>
              <w:jc w:val="center"/>
              <w:rPr>
                <w:rFonts w:ascii="Calibri" w:hAnsi="Calibri" w:cs="Calibri"/>
              </w:rPr>
            </w:pPr>
          </w:p>
          <w:p w14:paraId="356BDAE5" w14:textId="77777777" w:rsidR="00D011F2" w:rsidRPr="00B70107" w:rsidRDefault="00D011F2" w:rsidP="0030002E">
            <w:pPr>
              <w:jc w:val="center"/>
              <w:rPr>
                <w:rFonts w:ascii="Calibri" w:hAnsi="Calibri" w:cs="Calibri"/>
              </w:rPr>
            </w:pPr>
            <w:r w:rsidRPr="00B70107">
              <w:rPr>
                <w:rFonts w:ascii="Calibri" w:hAnsi="Calibri" w:cs="Calibri"/>
              </w:rPr>
              <w:t>9</w:t>
            </w:r>
          </w:p>
        </w:tc>
      </w:tr>
      <w:tr w:rsidR="00D011F2" w:rsidRPr="00B70107" w14:paraId="66BBE228" w14:textId="77777777" w:rsidTr="0030002E">
        <w:trPr>
          <w:jc w:val="center"/>
        </w:trPr>
        <w:tc>
          <w:tcPr>
            <w:tcW w:w="5864" w:type="dxa"/>
            <w:vMerge/>
          </w:tcPr>
          <w:p w14:paraId="31C89DE0" w14:textId="77777777" w:rsidR="00D011F2" w:rsidRPr="00B70107" w:rsidRDefault="00D011F2" w:rsidP="0030002E">
            <w:pPr>
              <w:rPr>
                <w:rFonts w:ascii="Calibri" w:hAnsi="Calibri" w:cs="Calibri"/>
              </w:rPr>
            </w:pPr>
          </w:p>
        </w:tc>
        <w:tc>
          <w:tcPr>
            <w:tcW w:w="2920" w:type="dxa"/>
          </w:tcPr>
          <w:p w14:paraId="785D61EE" w14:textId="77777777" w:rsidR="00D011F2" w:rsidRPr="00B70107" w:rsidRDefault="00D011F2" w:rsidP="0030002E">
            <w:pPr>
              <w:jc w:val="center"/>
              <w:rPr>
                <w:rFonts w:ascii="Calibri" w:hAnsi="Calibri" w:cs="Calibri"/>
              </w:rPr>
            </w:pPr>
            <w:r w:rsidRPr="00B70107">
              <w:rPr>
                <w:rFonts w:ascii="Calibri" w:hAnsi="Calibri" w:cs="Calibri"/>
              </w:rPr>
              <w:t>20+</w:t>
            </w:r>
          </w:p>
        </w:tc>
        <w:tc>
          <w:tcPr>
            <w:tcW w:w="992" w:type="dxa"/>
          </w:tcPr>
          <w:p w14:paraId="3182D336" w14:textId="77777777" w:rsidR="00D011F2" w:rsidRPr="00B70107" w:rsidRDefault="00D011F2" w:rsidP="0030002E">
            <w:pPr>
              <w:jc w:val="center"/>
              <w:rPr>
                <w:rFonts w:ascii="Calibri" w:hAnsi="Calibri" w:cs="Calibri"/>
              </w:rPr>
            </w:pPr>
            <w:r w:rsidRPr="00B70107">
              <w:rPr>
                <w:rFonts w:ascii="Calibri" w:hAnsi="Calibri" w:cs="Calibri"/>
              </w:rPr>
              <w:t>5</w:t>
            </w:r>
          </w:p>
        </w:tc>
        <w:tc>
          <w:tcPr>
            <w:tcW w:w="2693" w:type="dxa"/>
          </w:tcPr>
          <w:p w14:paraId="02ED79E4"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10+</w:t>
            </w:r>
          </w:p>
        </w:tc>
        <w:tc>
          <w:tcPr>
            <w:tcW w:w="993" w:type="dxa"/>
          </w:tcPr>
          <w:p w14:paraId="6B69C6F0"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5</w:t>
            </w:r>
          </w:p>
        </w:tc>
        <w:tc>
          <w:tcPr>
            <w:tcW w:w="1630" w:type="dxa"/>
            <w:vMerge/>
          </w:tcPr>
          <w:p w14:paraId="5401DE59" w14:textId="77777777" w:rsidR="00D011F2" w:rsidRPr="00B70107" w:rsidRDefault="00D011F2" w:rsidP="0030002E">
            <w:pPr>
              <w:rPr>
                <w:rFonts w:ascii="Calibri" w:hAnsi="Calibri" w:cs="Calibri"/>
              </w:rPr>
            </w:pPr>
          </w:p>
        </w:tc>
      </w:tr>
      <w:tr w:rsidR="00D011F2" w:rsidRPr="00B70107" w14:paraId="4A3C66B6" w14:textId="77777777" w:rsidTr="0030002E">
        <w:trPr>
          <w:jc w:val="center"/>
        </w:trPr>
        <w:tc>
          <w:tcPr>
            <w:tcW w:w="5864" w:type="dxa"/>
            <w:vMerge/>
          </w:tcPr>
          <w:p w14:paraId="50E012F7" w14:textId="77777777" w:rsidR="00D011F2" w:rsidRPr="00B70107" w:rsidRDefault="00D011F2" w:rsidP="0030002E">
            <w:pPr>
              <w:rPr>
                <w:rFonts w:ascii="Calibri" w:hAnsi="Calibri" w:cs="Calibri"/>
              </w:rPr>
            </w:pPr>
          </w:p>
        </w:tc>
        <w:tc>
          <w:tcPr>
            <w:tcW w:w="2920" w:type="dxa"/>
          </w:tcPr>
          <w:p w14:paraId="3F445FED"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15-19</w:t>
            </w:r>
          </w:p>
        </w:tc>
        <w:tc>
          <w:tcPr>
            <w:tcW w:w="992" w:type="dxa"/>
          </w:tcPr>
          <w:p w14:paraId="3D20EAE7"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4</w:t>
            </w:r>
          </w:p>
        </w:tc>
        <w:tc>
          <w:tcPr>
            <w:tcW w:w="2693" w:type="dxa"/>
          </w:tcPr>
          <w:p w14:paraId="32E077A9" w14:textId="77777777" w:rsidR="00D011F2" w:rsidRPr="00B70107" w:rsidRDefault="00D011F2" w:rsidP="0030002E">
            <w:pPr>
              <w:jc w:val="center"/>
              <w:rPr>
                <w:rFonts w:ascii="Calibri" w:hAnsi="Calibri" w:cs="Calibri"/>
              </w:rPr>
            </w:pPr>
            <w:r w:rsidRPr="00B70107">
              <w:rPr>
                <w:rFonts w:ascii="Calibri" w:hAnsi="Calibri" w:cs="Calibri"/>
              </w:rPr>
              <w:t>8-9</w:t>
            </w:r>
          </w:p>
        </w:tc>
        <w:tc>
          <w:tcPr>
            <w:tcW w:w="993" w:type="dxa"/>
          </w:tcPr>
          <w:p w14:paraId="685B5CC4" w14:textId="77777777" w:rsidR="00D011F2" w:rsidRPr="00B70107" w:rsidRDefault="00D011F2" w:rsidP="0030002E">
            <w:pPr>
              <w:jc w:val="center"/>
              <w:rPr>
                <w:rFonts w:ascii="Calibri" w:hAnsi="Calibri" w:cs="Calibri"/>
              </w:rPr>
            </w:pPr>
            <w:r w:rsidRPr="00B70107">
              <w:rPr>
                <w:rFonts w:ascii="Calibri" w:hAnsi="Calibri" w:cs="Calibri"/>
              </w:rPr>
              <w:t>4</w:t>
            </w:r>
          </w:p>
        </w:tc>
        <w:tc>
          <w:tcPr>
            <w:tcW w:w="1630" w:type="dxa"/>
            <w:vMerge/>
          </w:tcPr>
          <w:p w14:paraId="1402CB42" w14:textId="77777777" w:rsidR="00D011F2" w:rsidRPr="00B70107" w:rsidRDefault="00D011F2" w:rsidP="0030002E">
            <w:pPr>
              <w:rPr>
                <w:rFonts w:ascii="Calibri" w:hAnsi="Calibri" w:cs="Calibri"/>
              </w:rPr>
            </w:pPr>
          </w:p>
        </w:tc>
      </w:tr>
      <w:tr w:rsidR="00D011F2" w:rsidRPr="00B70107" w14:paraId="7DDAA562" w14:textId="77777777" w:rsidTr="0030002E">
        <w:trPr>
          <w:jc w:val="center"/>
        </w:trPr>
        <w:tc>
          <w:tcPr>
            <w:tcW w:w="5864" w:type="dxa"/>
            <w:vMerge/>
          </w:tcPr>
          <w:p w14:paraId="0A3D35C1" w14:textId="77777777" w:rsidR="00D011F2" w:rsidRPr="00B70107" w:rsidRDefault="00D011F2" w:rsidP="0030002E">
            <w:pPr>
              <w:rPr>
                <w:rFonts w:ascii="Calibri" w:hAnsi="Calibri" w:cs="Calibri"/>
              </w:rPr>
            </w:pPr>
          </w:p>
        </w:tc>
        <w:tc>
          <w:tcPr>
            <w:tcW w:w="2920" w:type="dxa"/>
          </w:tcPr>
          <w:p w14:paraId="6943D439" w14:textId="77777777" w:rsidR="00D011F2" w:rsidRPr="00B70107" w:rsidRDefault="00D011F2" w:rsidP="0030002E">
            <w:pPr>
              <w:jc w:val="center"/>
              <w:rPr>
                <w:rFonts w:ascii="Calibri" w:hAnsi="Calibri" w:cs="Calibri"/>
              </w:rPr>
            </w:pPr>
            <w:r w:rsidRPr="00B70107">
              <w:rPr>
                <w:rFonts w:ascii="Calibri" w:hAnsi="Calibri" w:cs="Calibri"/>
              </w:rPr>
              <w:t>10-14</w:t>
            </w:r>
          </w:p>
        </w:tc>
        <w:tc>
          <w:tcPr>
            <w:tcW w:w="992" w:type="dxa"/>
          </w:tcPr>
          <w:p w14:paraId="6A3187DD" w14:textId="77777777" w:rsidR="00D011F2" w:rsidRPr="00B70107" w:rsidRDefault="00D011F2" w:rsidP="0030002E">
            <w:pPr>
              <w:jc w:val="center"/>
              <w:rPr>
                <w:rFonts w:ascii="Calibri" w:hAnsi="Calibri" w:cs="Calibri"/>
              </w:rPr>
            </w:pPr>
            <w:r w:rsidRPr="00B70107">
              <w:rPr>
                <w:rFonts w:ascii="Calibri" w:hAnsi="Calibri" w:cs="Calibri"/>
              </w:rPr>
              <w:t>3</w:t>
            </w:r>
          </w:p>
        </w:tc>
        <w:tc>
          <w:tcPr>
            <w:tcW w:w="2693" w:type="dxa"/>
          </w:tcPr>
          <w:p w14:paraId="09361E7A" w14:textId="77777777" w:rsidR="00D011F2" w:rsidRPr="00B70107" w:rsidRDefault="00D011F2" w:rsidP="0030002E">
            <w:pPr>
              <w:jc w:val="center"/>
              <w:rPr>
                <w:rFonts w:ascii="Calibri" w:hAnsi="Calibri" w:cs="Calibri"/>
              </w:rPr>
            </w:pPr>
            <w:r w:rsidRPr="00B70107">
              <w:rPr>
                <w:rFonts w:ascii="Calibri" w:hAnsi="Calibri" w:cs="Calibri"/>
              </w:rPr>
              <w:t>6-7</w:t>
            </w:r>
          </w:p>
        </w:tc>
        <w:tc>
          <w:tcPr>
            <w:tcW w:w="993" w:type="dxa"/>
          </w:tcPr>
          <w:p w14:paraId="7C3BE517" w14:textId="77777777" w:rsidR="00D011F2" w:rsidRPr="00B70107" w:rsidRDefault="00D011F2" w:rsidP="0030002E">
            <w:pPr>
              <w:jc w:val="center"/>
              <w:rPr>
                <w:rFonts w:ascii="Calibri" w:hAnsi="Calibri" w:cs="Calibri"/>
              </w:rPr>
            </w:pPr>
            <w:r w:rsidRPr="00B70107">
              <w:rPr>
                <w:rFonts w:ascii="Calibri" w:hAnsi="Calibri" w:cs="Calibri"/>
              </w:rPr>
              <w:t>3</w:t>
            </w:r>
          </w:p>
        </w:tc>
        <w:tc>
          <w:tcPr>
            <w:tcW w:w="1630" w:type="dxa"/>
            <w:vMerge/>
          </w:tcPr>
          <w:p w14:paraId="20D09B18" w14:textId="77777777" w:rsidR="00D011F2" w:rsidRPr="00B70107" w:rsidRDefault="00D011F2" w:rsidP="0030002E">
            <w:pPr>
              <w:rPr>
                <w:rFonts w:ascii="Calibri" w:hAnsi="Calibri" w:cs="Calibri"/>
              </w:rPr>
            </w:pPr>
          </w:p>
        </w:tc>
      </w:tr>
      <w:tr w:rsidR="00D011F2" w:rsidRPr="00B70107" w14:paraId="2EE3B9DD" w14:textId="77777777" w:rsidTr="0030002E">
        <w:trPr>
          <w:jc w:val="center"/>
        </w:trPr>
        <w:tc>
          <w:tcPr>
            <w:tcW w:w="5864" w:type="dxa"/>
            <w:vMerge/>
          </w:tcPr>
          <w:p w14:paraId="48078D3F" w14:textId="77777777" w:rsidR="00D011F2" w:rsidRPr="00B70107" w:rsidRDefault="00D011F2" w:rsidP="0030002E">
            <w:pPr>
              <w:rPr>
                <w:rFonts w:ascii="Calibri" w:hAnsi="Calibri" w:cs="Calibri"/>
              </w:rPr>
            </w:pPr>
          </w:p>
        </w:tc>
        <w:tc>
          <w:tcPr>
            <w:tcW w:w="2920" w:type="dxa"/>
          </w:tcPr>
          <w:p w14:paraId="64C29269" w14:textId="77777777" w:rsidR="00D011F2" w:rsidRPr="00B70107" w:rsidRDefault="00D011F2" w:rsidP="0030002E">
            <w:pPr>
              <w:jc w:val="center"/>
              <w:rPr>
                <w:rFonts w:ascii="Calibri" w:hAnsi="Calibri" w:cs="Calibri"/>
              </w:rPr>
            </w:pPr>
            <w:r w:rsidRPr="00B70107">
              <w:rPr>
                <w:rFonts w:ascii="Calibri" w:hAnsi="Calibri" w:cs="Calibri"/>
              </w:rPr>
              <w:t>5-9</w:t>
            </w:r>
          </w:p>
        </w:tc>
        <w:tc>
          <w:tcPr>
            <w:tcW w:w="992" w:type="dxa"/>
          </w:tcPr>
          <w:p w14:paraId="1777AEE6" w14:textId="77777777" w:rsidR="00D011F2" w:rsidRPr="00B70107" w:rsidRDefault="00D011F2" w:rsidP="0030002E">
            <w:pPr>
              <w:jc w:val="center"/>
              <w:rPr>
                <w:rFonts w:ascii="Calibri" w:hAnsi="Calibri" w:cs="Calibri"/>
              </w:rPr>
            </w:pPr>
            <w:r w:rsidRPr="00B70107">
              <w:rPr>
                <w:rFonts w:ascii="Calibri" w:hAnsi="Calibri" w:cs="Calibri"/>
              </w:rPr>
              <w:t>2</w:t>
            </w:r>
          </w:p>
        </w:tc>
        <w:tc>
          <w:tcPr>
            <w:tcW w:w="2693" w:type="dxa"/>
          </w:tcPr>
          <w:p w14:paraId="657D5E7B" w14:textId="77777777" w:rsidR="00D011F2" w:rsidRPr="00B70107" w:rsidRDefault="00D011F2" w:rsidP="0030002E">
            <w:pPr>
              <w:jc w:val="center"/>
              <w:rPr>
                <w:rFonts w:ascii="Calibri" w:hAnsi="Calibri" w:cs="Calibri"/>
              </w:rPr>
            </w:pPr>
            <w:r w:rsidRPr="00B70107">
              <w:rPr>
                <w:rFonts w:ascii="Calibri" w:hAnsi="Calibri" w:cs="Calibri"/>
              </w:rPr>
              <w:t>4-5</w:t>
            </w:r>
          </w:p>
        </w:tc>
        <w:tc>
          <w:tcPr>
            <w:tcW w:w="993" w:type="dxa"/>
          </w:tcPr>
          <w:p w14:paraId="159E85FA" w14:textId="77777777" w:rsidR="00D011F2" w:rsidRPr="00B70107" w:rsidRDefault="00D011F2" w:rsidP="0030002E">
            <w:pPr>
              <w:jc w:val="center"/>
              <w:rPr>
                <w:rFonts w:ascii="Calibri" w:hAnsi="Calibri" w:cs="Calibri"/>
              </w:rPr>
            </w:pPr>
            <w:r w:rsidRPr="00B70107">
              <w:rPr>
                <w:rFonts w:ascii="Calibri" w:hAnsi="Calibri" w:cs="Calibri"/>
              </w:rPr>
              <w:t>2</w:t>
            </w:r>
          </w:p>
        </w:tc>
        <w:tc>
          <w:tcPr>
            <w:tcW w:w="1630" w:type="dxa"/>
            <w:vMerge/>
          </w:tcPr>
          <w:p w14:paraId="7D8693DE" w14:textId="77777777" w:rsidR="00D011F2" w:rsidRPr="00B70107" w:rsidRDefault="00D011F2" w:rsidP="0030002E">
            <w:pPr>
              <w:rPr>
                <w:rFonts w:ascii="Calibri" w:hAnsi="Calibri" w:cs="Calibri"/>
              </w:rPr>
            </w:pPr>
          </w:p>
        </w:tc>
      </w:tr>
      <w:tr w:rsidR="00D011F2" w:rsidRPr="00B70107" w14:paraId="23840BF5" w14:textId="77777777" w:rsidTr="0030002E">
        <w:trPr>
          <w:jc w:val="center"/>
        </w:trPr>
        <w:tc>
          <w:tcPr>
            <w:tcW w:w="5864" w:type="dxa"/>
            <w:vMerge/>
          </w:tcPr>
          <w:p w14:paraId="715E23D5" w14:textId="77777777" w:rsidR="00D011F2" w:rsidRPr="00B70107" w:rsidRDefault="00D011F2" w:rsidP="0030002E">
            <w:pPr>
              <w:rPr>
                <w:rFonts w:ascii="Calibri" w:hAnsi="Calibri" w:cs="Calibri"/>
              </w:rPr>
            </w:pPr>
          </w:p>
        </w:tc>
        <w:tc>
          <w:tcPr>
            <w:tcW w:w="2920" w:type="dxa"/>
          </w:tcPr>
          <w:p w14:paraId="43918655" w14:textId="77777777" w:rsidR="00D011F2" w:rsidRPr="00B70107" w:rsidRDefault="00D011F2" w:rsidP="0030002E">
            <w:pPr>
              <w:jc w:val="center"/>
              <w:rPr>
                <w:rFonts w:ascii="Calibri" w:hAnsi="Calibri" w:cs="Calibri"/>
              </w:rPr>
            </w:pPr>
            <w:r w:rsidRPr="00B70107">
              <w:rPr>
                <w:rFonts w:ascii="Calibri" w:hAnsi="Calibri" w:cs="Calibri"/>
              </w:rPr>
              <w:t>1-4</w:t>
            </w:r>
          </w:p>
        </w:tc>
        <w:tc>
          <w:tcPr>
            <w:tcW w:w="992" w:type="dxa"/>
          </w:tcPr>
          <w:p w14:paraId="40DB50B5" w14:textId="77777777" w:rsidR="00D011F2" w:rsidRPr="00B70107" w:rsidRDefault="00D011F2" w:rsidP="0030002E">
            <w:pPr>
              <w:jc w:val="center"/>
              <w:rPr>
                <w:rFonts w:ascii="Calibri" w:hAnsi="Calibri" w:cs="Calibri"/>
              </w:rPr>
            </w:pPr>
            <w:r w:rsidRPr="00B70107">
              <w:rPr>
                <w:rFonts w:ascii="Calibri" w:hAnsi="Calibri" w:cs="Calibri"/>
              </w:rPr>
              <w:t>1</w:t>
            </w:r>
          </w:p>
        </w:tc>
        <w:tc>
          <w:tcPr>
            <w:tcW w:w="2693" w:type="dxa"/>
          </w:tcPr>
          <w:p w14:paraId="38B403D3" w14:textId="77777777" w:rsidR="00D011F2" w:rsidRPr="00B70107" w:rsidRDefault="00D011F2" w:rsidP="0030002E">
            <w:pPr>
              <w:jc w:val="center"/>
              <w:rPr>
                <w:rFonts w:ascii="Calibri" w:hAnsi="Calibri" w:cs="Calibri"/>
              </w:rPr>
            </w:pPr>
            <w:r w:rsidRPr="00B70107">
              <w:rPr>
                <w:rFonts w:ascii="Calibri" w:hAnsi="Calibri" w:cs="Calibri"/>
              </w:rPr>
              <w:t>1-3</w:t>
            </w:r>
          </w:p>
        </w:tc>
        <w:tc>
          <w:tcPr>
            <w:tcW w:w="993" w:type="dxa"/>
          </w:tcPr>
          <w:p w14:paraId="6D0387D9" w14:textId="77777777" w:rsidR="00D011F2" w:rsidRPr="00B70107" w:rsidRDefault="00D011F2" w:rsidP="0030002E">
            <w:pPr>
              <w:jc w:val="center"/>
              <w:rPr>
                <w:rFonts w:ascii="Calibri" w:hAnsi="Calibri" w:cs="Calibri"/>
              </w:rPr>
            </w:pPr>
            <w:r w:rsidRPr="00B70107">
              <w:rPr>
                <w:rFonts w:ascii="Calibri" w:hAnsi="Calibri" w:cs="Calibri"/>
              </w:rPr>
              <w:t>1</w:t>
            </w:r>
          </w:p>
        </w:tc>
        <w:tc>
          <w:tcPr>
            <w:tcW w:w="1630" w:type="dxa"/>
            <w:vMerge/>
          </w:tcPr>
          <w:p w14:paraId="3B7F73A3" w14:textId="77777777" w:rsidR="00D011F2" w:rsidRPr="00B70107" w:rsidRDefault="00D011F2" w:rsidP="0030002E">
            <w:pPr>
              <w:rPr>
                <w:rFonts w:ascii="Calibri" w:hAnsi="Calibri" w:cs="Calibri"/>
              </w:rPr>
            </w:pPr>
          </w:p>
        </w:tc>
      </w:tr>
      <w:tr w:rsidR="00D011F2" w:rsidRPr="00B70107" w14:paraId="1364BCB6" w14:textId="77777777" w:rsidTr="0030002E">
        <w:trPr>
          <w:jc w:val="center"/>
        </w:trPr>
        <w:tc>
          <w:tcPr>
            <w:tcW w:w="5864" w:type="dxa"/>
            <w:vMerge/>
          </w:tcPr>
          <w:p w14:paraId="1BCB8462" w14:textId="77777777" w:rsidR="00D011F2" w:rsidRPr="00B70107" w:rsidRDefault="00D011F2" w:rsidP="0030002E">
            <w:pPr>
              <w:rPr>
                <w:rFonts w:ascii="Calibri" w:hAnsi="Calibri" w:cs="Calibri"/>
              </w:rPr>
            </w:pPr>
          </w:p>
        </w:tc>
        <w:tc>
          <w:tcPr>
            <w:tcW w:w="2920" w:type="dxa"/>
          </w:tcPr>
          <w:p w14:paraId="69A256ED"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992" w:type="dxa"/>
          </w:tcPr>
          <w:p w14:paraId="13EDAC33"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2693" w:type="dxa"/>
          </w:tcPr>
          <w:p w14:paraId="1FF3DBCC"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993" w:type="dxa"/>
          </w:tcPr>
          <w:p w14:paraId="6943EE95"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1630" w:type="dxa"/>
            <w:vMerge/>
          </w:tcPr>
          <w:p w14:paraId="6E24C349" w14:textId="77777777" w:rsidR="00D011F2" w:rsidRPr="00B70107" w:rsidRDefault="00D011F2" w:rsidP="0030002E">
            <w:pPr>
              <w:rPr>
                <w:rFonts w:ascii="Calibri" w:hAnsi="Calibri" w:cs="Calibri"/>
              </w:rPr>
            </w:pPr>
          </w:p>
        </w:tc>
      </w:tr>
      <w:tr w:rsidR="00D011F2" w:rsidRPr="00B70107" w14:paraId="52F5FBD9" w14:textId="77777777" w:rsidTr="0030002E">
        <w:trPr>
          <w:jc w:val="center"/>
        </w:trPr>
        <w:tc>
          <w:tcPr>
            <w:tcW w:w="5864" w:type="dxa"/>
            <w:vMerge w:val="restart"/>
          </w:tcPr>
          <w:p w14:paraId="1AA848E4" w14:textId="77777777" w:rsidR="00D011F2" w:rsidRPr="00B70107" w:rsidRDefault="00D011F2" w:rsidP="0030002E">
            <w:pPr>
              <w:rPr>
                <w:rFonts w:ascii="Calibri" w:hAnsi="Calibri" w:cs="Calibri"/>
                <w:b/>
                <w:bCs/>
              </w:rPr>
            </w:pPr>
            <w:r w:rsidRPr="00B70107">
              <w:rPr>
                <w:rFonts w:ascii="Calibri" w:hAnsi="Calibri" w:cs="Calibri"/>
                <w:b/>
                <w:bCs/>
              </w:rPr>
              <w:t>Identified Supporting Actions</w:t>
            </w:r>
          </w:p>
          <w:p w14:paraId="45012433" w14:textId="77777777" w:rsidR="00D011F2" w:rsidRPr="00B70107" w:rsidRDefault="00D011F2" w:rsidP="0030002E">
            <w:pPr>
              <w:rPr>
                <w:rFonts w:ascii="Calibri" w:hAnsi="Calibri" w:cs="Calibri"/>
              </w:rPr>
            </w:pPr>
          </w:p>
          <w:p w14:paraId="57D69C68" w14:textId="77777777" w:rsidR="00D011F2" w:rsidRPr="00B70107" w:rsidRDefault="00D011F2" w:rsidP="0030002E">
            <w:pPr>
              <w:rPr>
                <w:rFonts w:ascii="Calibri" w:hAnsi="Calibri" w:cs="Calibri"/>
              </w:rPr>
            </w:pPr>
            <w:r w:rsidRPr="00B70107">
              <w:rPr>
                <w:rFonts w:ascii="Calibri" w:hAnsi="Calibri" w:cs="Calibri"/>
              </w:rPr>
              <w:t>Strategic documents with specific actions that promote physical activity</w:t>
            </w:r>
          </w:p>
        </w:tc>
        <w:tc>
          <w:tcPr>
            <w:tcW w:w="3912" w:type="dxa"/>
            <w:gridSpan w:val="2"/>
          </w:tcPr>
          <w:p w14:paraId="5F3B207D" w14:textId="77777777" w:rsidR="00D011F2" w:rsidRPr="00B70107" w:rsidRDefault="00D011F2" w:rsidP="0030002E">
            <w:pPr>
              <w:jc w:val="center"/>
              <w:rPr>
                <w:rFonts w:ascii="Calibri" w:hAnsi="Calibri" w:cs="Calibri"/>
              </w:rPr>
            </w:pPr>
            <w:r w:rsidRPr="00B70107">
              <w:rPr>
                <w:rFonts w:ascii="Calibri" w:hAnsi="Calibri" w:cs="Calibri"/>
                <w:b/>
                <w:bCs/>
              </w:rPr>
              <w:t>No. of Policies with identifiable Actions</w:t>
            </w:r>
          </w:p>
        </w:tc>
        <w:tc>
          <w:tcPr>
            <w:tcW w:w="3686" w:type="dxa"/>
            <w:gridSpan w:val="2"/>
          </w:tcPr>
          <w:p w14:paraId="7A5A4C06" w14:textId="77777777" w:rsidR="00D011F2" w:rsidRPr="00B70107" w:rsidRDefault="00D011F2" w:rsidP="0030002E">
            <w:pPr>
              <w:jc w:val="center"/>
              <w:rPr>
                <w:rFonts w:ascii="Calibri" w:hAnsi="Calibri" w:cs="Calibri"/>
                <w:b/>
                <w:bCs/>
              </w:rPr>
            </w:pPr>
            <w:r w:rsidRPr="00B70107">
              <w:rPr>
                <w:rFonts w:ascii="Calibri" w:hAnsi="Calibri" w:cs="Calibri"/>
                <w:b/>
                <w:bCs/>
              </w:rPr>
              <w:t>Score</w:t>
            </w:r>
          </w:p>
        </w:tc>
        <w:tc>
          <w:tcPr>
            <w:tcW w:w="1630" w:type="dxa"/>
            <w:vMerge w:val="restart"/>
          </w:tcPr>
          <w:p w14:paraId="7523829B" w14:textId="77777777" w:rsidR="00D011F2" w:rsidRPr="00B70107" w:rsidRDefault="00D011F2" w:rsidP="0030002E">
            <w:pPr>
              <w:jc w:val="center"/>
              <w:rPr>
                <w:rFonts w:ascii="Calibri" w:hAnsi="Calibri" w:cs="Calibri"/>
              </w:rPr>
            </w:pPr>
          </w:p>
          <w:p w14:paraId="01EF4350" w14:textId="3CBB8C07" w:rsidR="00D011F2" w:rsidRPr="00B70107" w:rsidRDefault="00BD0171" w:rsidP="0030002E">
            <w:pPr>
              <w:jc w:val="center"/>
              <w:rPr>
                <w:rFonts w:ascii="Calibri" w:hAnsi="Calibri" w:cs="Calibri"/>
              </w:rPr>
            </w:pPr>
            <w:r w:rsidRPr="00B70107">
              <w:rPr>
                <w:rFonts w:ascii="Calibri" w:hAnsi="Calibri" w:cs="Calibri"/>
              </w:rPr>
              <w:t>1</w:t>
            </w:r>
            <w:r w:rsidR="001775A4" w:rsidRPr="00B70107">
              <w:rPr>
                <w:rFonts w:ascii="Calibri" w:hAnsi="Calibri" w:cs="Calibri"/>
              </w:rPr>
              <w:t>2</w:t>
            </w:r>
          </w:p>
        </w:tc>
      </w:tr>
      <w:tr w:rsidR="00D011F2" w:rsidRPr="00B70107" w14:paraId="58A9B09B" w14:textId="77777777" w:rsidTr="0030002E">
        <w:trPr>
          <w:jc w:val="center"/>
        </w:trPr>
        <w:tc>
          <w:tcPr>
            <w:tcW w:w="5864" w:type="dxa"/>
            <w:vMerge/>
          </w:tcPr>
          <w:p w14:paraId="41CB9EFB" w14:textId="77777777" w:rsidR="00D011F2" w:rsidRPr="00B70107" w:rsidRDefault="00D011F2" w:rsidP="0030002E">
            <w:pPr>
              <w:rPr>
                <w:rFonts w:ascii="Calibri" w:hAnsi="Calibri" w:cs="Calibri"/>
              </w:rPr>
            </w:pPr>
          </w:p>
        </w:tc>
        <w:tc>
          <w:tcPr>
            <w:tcW w:w="3912" w:type="dxa"/>
            <w:gridSpan w:val="2"/>
          </w:tcPr>
          <w:p w14:paraId="3B9EEA49" w14:textId="77777777" w:rsidR="00D011F2" w:rsidRPr="00B70107" w:rsidRDefault="00D011F2" w:rsidP="0030002E">
            <w:pPr>
              <w:pStyle w:val="NormalWeb"/>
              <w:shd w:val="clear" w:color="auto" w:fill="FFFFFF"/>
              <w:jc w:val="center"/>
              <w:rPr>
                <w:rFonts w:ascii="Calibri" w:hAnsi="Calibri" w:cs="Calibri"/>
                <w:sz w:val="22"/>
                <w:szCs w:val="22"/>
              </w:rPr>
            </w:pPr>
            <w:r w:rsidRPr="00B70107">
              <w:rPr>
                <w:rFonts w:ascii="Calibri" w:hAnsi="Calibri" w:cs="Calibri"/>
                <w:sz w:val="22"/>
                <w:szCs w:val="22"/>
              </w:rPr>
              <w:t>Actual number of documents to maximum of 20</w:t>
            </w:r>
          </w:p>
        </w:tc>
        <w:tc>
          <w:tcPr>
            <w:tcW w:w="3686" w:type="dxa"/>
            <w:gridSpan w:val="2"/>
          </w:tcPr>
          <w:p w14:paraId="5A8EC9F6" w14:textId="77777777" w:rsidR="00D011F2" w:rsidRPr="00B70107" w:rsidRDefault="00D011F2" w:rsidP="0030002E">
            <w:pPr>
              <w:jc w:val="center"/>
              <w:rPr>
                <w:rFonts w:ascii="Calibri" w:hAnsi="Calibri" w:cs="Calibri"/>
              </w:rPr>
            </w:pPr>
            <w:r w:rsidRPr="00B70107">
              <w:rPr>
                <w:rFonts w:ascii="Calibri" w:hAnsi="Calibri" w:cs="Calibri"/>
              </w:rPr>
              <w:t>0-20</w:t>
            </w:r>
          </w:p>
        </w:tc>
        <w:tc>
          <w:tcPr>
            <w:tcW w:w="1630" w:type="dxa"/>
            <w:vMerge/>
          </w:tcPr>
          <w:p w14:paraId="32E6BB3C" w14:textId="77777777" w:rsidR="00D011F2" w:rsidRPr="00B70107" w:rsidRDefault="00D011F2" w:rsidP="0030002E">
            <w:pPr>
              <w:jc w:val="center"/>
              <w:rPr>
                <w:rFonts w:ascii="Calibri" w:hAnsi="Calibri" w:cs="Calibri"/>
              </w:rPr>
            </w:pPr>
          </w:p>
        </w:tc>
      </w:tr>
      <w:tr w:rsidR="00D011F2" w:rsidRPr="00B70107" w14:paraId="43C69E0D" w14:textId="77777777" w:rsidTr="0030002E">
        <w:trPr>
          <w:jc w:val="center"/>
        </w:trPr>
        <w:tc>
          <w:tcPr>
            <w:tcW w:w="5864" w:type="dxa"/>
            <w:vMerge w:val="restart"/>
          </w:tcPr>
          <w:p w14:paraId="00E912EA" w14:textId="77777777" w:rsidR="00D011F2" w:rsidRPr="00B70107" w:rsidRDefault="00D011F2" w:rsidP="0030002E">
            <w:pPr>
              <w:rPr>
                <w:rFonts w:ascii="Calibri" w:hAnsi="Calibri" w:cs="Calibri"/>
                <w:b/>
                <w:bCs/>
              </w:rPr>
            </w:pPr>
            <w:r w:rsidRPr="00B70107">
              <w:rPr>
                <w:rFonts w:ascii="Calibri" w:hAnsi="Calibri" w:cs="Calibri"/>
                <w:b/>
                <w:bCs/>
              </w:rPr>
              <w:t>Identified Accountable Organisation(s)</w:t>
            </w:r>
          </w:p>
          <w:p w14:paraId="08873E01" w14:textId="77777777" w:rsidR="00D011F2" w:rsidRPr="00B70107" w:rsidRDefault="00D011F2" w:rsidP="0030002E">
            <w:pPr>
              <w:rPr>
                <w:rFonts w:ascii="Calibri" w:hAnsi="Calibri" w:cs="Calibri"/>
              </w:rPr>
            </w:pPr>
          </w:p>
          <w:p w14:paraId="4762592C" w14:textId="77777777" w:rsidR="00D011F2" w:rsidRPr="00B70107" w:rsidRDefault="00D011F2" w:rsidP="0030002E">
            <w:pPr>
              <w:rPr>
                <w:rFonts w:ascii="Calibri" w:hAnsi="Calibri" w:cs="Calibri"/>
              </w:rPr>
            </w:pPr>
            <w:r w:rsidRPr="00B70107">
              <w:rPr>
                <w:rFonts w:ascii="Calibri" w:hAnsi="Calibri" w:cs="Calibri"/>
              </w:rPr>
              <w:t>Discreet organisations specifically identified as responsible for delivery of actions.</w:t>
            </w:r>
          </w:p>
        </w:tc>
        <w:tc>
          <w:tcPr>
            <w:tcW w:w="3912" w:type="dxa"/>
            <w:gridSpan w:val="2"/>
          </w:tcPr>
          <w:p w14:paraId="2303C3CA" w14:textId="77777777" w:rsidR="00D011F2" w:rsidRPr="00B70107" w:rsidRDefault="00D011F2" w:rsidP="0030002E">
            <w:pPr>
              <w:jc w:val="center"/>
              <w:rPr>
                <w:rFonts w:ascii="Calibri" w:hAnsi="Calibri" w:cs="Calibri"/>
              </w:rPr>
            </w:pPr>
            <w:r w:rsidRPr="00B70107">
              <w:rPr>
                <w:rFonts w:ascii="Calibri" w:hAnsi="Calibri" w:cs="Calibri"/>
                <w:b/>
                <w:bCs/>
              </w:rPr>
              <w:t>Proportion (%) of Policies with Identified Responsibilities for delivery of Actions</w:t>
            </w:r>
          </w:p>
        </w:tc>
        <w:tc>
          <w:tcPr>
            <w:tcW w:w="3686" w:type="dxa"/>
            <w:gridSpan w:val="2"/>
          </w:tcPr>
          <w:p w14:paraId="627AF399" w14:textId="77777777" w:rsidR="00D011F2" w:rsidRPr="00B70107" w:rsidRDefault="00D011F2" w:rsidP="0030002E">
            <w:pPr>
              <w:jc w:val="center"/>
              <w:rPr>
                <w:rFonts w:ascii="Calibri" w:hAnsi="Calibri" w:cs="Calibri"/>
                <w:b/>
                <w:bCs/>
              </w:rPr>
            </w:pPr>
            <w:r w:rsidRPr="00B70107">
              <w:rPr>
                <w:rFonts w:ascii="Calibri" w:hAnsi="Calibri" w:cs="Calibri"/>
                <w:b/>
                <w:bCs/>
              </w:rPr>
              <w:t>Score</w:t>
            </w:r>
          </w:p>
        </w:tc>
        <w:tc>
          <w:tcPr>
            <w:tcW w:w="1630" w:type="dxa"/>
            <w:vMerge w:val="restart"/>
          </w:tcPr>
          <w:p w14:paraId="21E01EE8" w14:textId="77777777" w:rsidR="00D011F2" w:rsidRPr="00B70107" w:rsidRDefault="00D011F2" w:rsidP="0030002E">
            <w:pPr>
              <w:jc w:val="center"/>
              <w:rPr>
                <w:rFonts w:ascii="Calibri" w:hAnsi="Calibri" w:cs="Calibri"/>
              </w:rPr>
            </w:pPr>
          </w:p>
          <w:p w14:paraId="7C7C9B9D" w14:textId="77777777" w:rsidR="00D011F2" w:rsidRPr="00B70107" w:rsidRDefault="00D011F2" w:rsidP="0030002E">
            <w:pPr>
              <w:jc w:val="center"/>
              <w:rPr>
                <w:rFonts w:ascii="Calibri" w:hAnsi="Calibri" w:cs="Calibri"/>
              </w:rPr>
            </w:pPr>
          </w:p>
          <w:p w14:paraId="536AD051" w14:textId="4E96FED3" w:rsidR="00D011F2" w:rsidRPr="00B70107" w:rsidRDefault="00BD0171" w:rsidP="0030002E">
            <w:pPr>
              <w:jc w:val="center"/>
              <w:rPr>
                <w:rFonts w:ascii="Calibri" w:hAnsi="Calibri" w:cs="Calibri"/>
              </w:rPr>
            </w:pPr>
            <w:r w:rsidRPr="00B70107">
              <w:rPr>
                <w:rFonts w:ascii="Calibri" w:hAnsi="Calibri" w:cs="Calibri"/>
              </w:rPr>
              <w:t>15</w:t>
            </w:r>
          </w:p>
        </w:tc>
      </w:tr>
      <w:tr w:rsidR="00D011F2" w:rsidRPr="00B70107" w14:paraId="0D9D3801" w14:textId="77777777" w:rsidTr="0030002E">
        <w:trPr>
          <w:jc w:val="center"/>
        </w:trPr>
        <w:tc>
          <w:tcPr>
            <w:tcW w:w="5864" w:type="dxa"/>
            <w:vMerge/>
          </w:tcPr>
          <w:p w14:paraId="35AA1E68" w14:textId="77777777" w:rsidR="00D011F2" w:rsidRPr="00B70107" w:rsidRDefault="00D011F2" w:rsidP="0030002E">
            <w:pPr>
              <w:rPr>
                <w:rFonts w:ascii="Calibri" w:hAnsi="Calibri" w:cs="Calibri"/>
              </w:rPr>
            </w:pPr>
          </w:p>
        </w:tc>
        <w:tc>
          <w:tcPr>
            <w:tcW w:w="3912" w:type="dxa"/>
            <w:gridSpan w:val="2"/>
          </w:tcPr>
          <w:p w14:paraId="5A5D52C6" w14:textId="77777777" w:rsidR="00D011F2" w:rsidRPr="00B70107" w:rsidRDefault="00D011F2" w:rsidP="0030002E">
            <w:pPr>
              <w:jc w:val="center"/>
              <w:rPr>
                <w:rFonts w:ascii="Calibri" w:hAnsi="Calibri" w:cs="Calibri"/>
              </w:rPr>
            </w:pPr>
            <w:r w:rsidRPr="00B70107">
              <w:rPr>
                <w:rFonts w:ascii="Calibri" w:hAnsi="Calibri" w:cs="Calibri"/>
              </w:rPr>
              <w:t>100%</w:t>
            </w:r>
          </w:p>
        </w:tc>
        <w:tc>
          <w:tcPr>
            <w:tcW w:w="3686" w:type="dxa"/>
            <w:gridSpan w:val="2"/>
          </w:tcPr>
          <w:p w14:paraId="493D4B59" w14:textId="77777777" w:rsidR="00D011F2" w:rsidRPr="00B70107" w:rsidRDefault="00D011F2" w:rsidP="0030002E">
            <w:pPr>
              <w:jc w:val="center"/>
              <w:rPr>
                <w:rFonts w:ascii="Calibri" w:hAnsi="Calibri" w:cs="Calibri"/>
              </w:rPr>
            </w:pPr>
            <w:r w:rsidRPr="00B70107">
              <w:rPr>
                <w:rFonts w:ascii="Calibri" w:hAnsi="Calibri" w:cs="Calibri"/>
              </w:rPr>
              <w:t>25</w:t>
            </w:r>
          </w:p>
        </w:tc>
        <w:tc>
          <w:tcPr>
            <w:tcW w:w="1630" w:type="dxa"/>
            <w:vMerge/>
          </w:tcPr>
          <w:p w14:paraId="4F8071DE" w14:textId="77777777" w:rsidR="00D011F2" w:rsidRPr="00B70107" w:rsidRDefault="00D011F2" w:rsidP="0030002E">
            <w:pPr>
              <w:jc w:val="center"/>
              <w:rPr>
                <w:rFonts w:ascii="Calibri" w:hAnsi="Calibri" w:cs="Calibri"/>
              </w:rPr>
            </w:pPr>
          </w:p>
        </w:tc>
      </w:tr>
      <w:tr w:rsidR="00D011F2" w:rsidRPr="00B70107" w14:paraId="6A78A91A" w14:textId="77777777" w:rsidTr="0030002E">
        <w:trPr>
          <w:jc w:val="center"/>
        </w:trPr>
        <w:tc>
          <w:tcPr>
            <w:tcW w:w="5864" w:type="dxa"/>
            <w:vMerge/>
          </w:tcPr>
          <w:p w14:paraId="637A367C" w14:textId="77777777" w:rsidR="00D011F2" w:rsidRPr="00B70107" w:rsidRDefault="00D011F2" w:rsidP="0030002E">
            <w:pPr>
              <w:rPr>
                <w:rFonts w:ascii="Calibri" w:hAnsi="Calibri" w:cs="Calibri"/>
              </w:rPr>
            </w:pPr>
          </w:p>
        </w:tc>
        <w:tc>
          <w:tcPr>
            <w:tcW w:w="3912" w:type="dxa"/>
            <w:gridSpan w:val="2"/>
          </w:tcPr>
          <w:p w14:paraId="62890EC2" w14:textId="77777777" w:rsidR="00D011F2" w:rsidRPr="00B70107" w:rsidRDefault="00D011F2" w:rsidP="0030002E">
            <w:pPr>
              <w:jc w:val="center"/>
              <w:rPr>
                <w:rFonts w:ascii="Calibri" w:hAnsi="Calibri" w:cs="Calibri"/>
              </w:rPr>
            </w:pPr>
            <w:r w:rsidRPr="00B70107">
              <w:rPr>
                <w:rFonts w:ascii="Calibri" w:hAnsi="Calibri" w:cs="Calibri"/>
              </w:rPr>
              <w:t>80%</w:t>
            </w:r>
          </w:p>
        </w:tc>
        <w:tc>
          <w:tcPr>
            <w:tcW w:w="3686" w:type="dxa"/>
            <w:gridSpan w:val="2"/>
          </w:tcPr>
          <w:p w14:paraId="3F080EE7" w14:textId="77777777" w:rsidR="00D011F2" w:rsidRPr="00B70107" w:rsidRDefault="00D011F2" w:rsidP="0030002E">
            <w:pPr>
              <w:jc w:val="center"/>
              <w:rPr>
                <w:rFonts w:ascii="Calibri" w:hAnsi="Calibri" w:cs="Calibri"/>
              </w:rPr>
            </w:pPr>
            <w:r w:rsidRPr="00B70107">
              <w:rPr>
                <w:rFonts w:ascii="Calibri" w:hAnsi="Calibri" w:cs="Calibri"/>
              </w:rPr>
              <w:t>20</w:t>
            </w:r>
          </w:p>
        </w:tc>
        <w:tc>
          <w:tcPr>
            <w:tcW w:w="1630" w:type="dxa"/>
            <w:vMerge/>
          </w:tcPr>
          <w:p w14:paraId="3330995F" w14:textId="77777777" w:rsidR="00D011F2" w:rsidRPr="00B70107" w:rsidRDefault="00D011F2" w:rsidP="0030002E">
            <w:pPr>
              <w:jc w:val="center"/>
              <w:rPr>
                <w:rFonts w:ascii="Calibri" w:hAnsi="Calibri" w:cs="Calibri"/>
              </w:rPr>
            </w:pPr>
          </w:p>
        </w:tc>
      </w:tr>
      <w:tr w:rsidR="00D011F2" w:rsidRPr="00B70107" w14:paraId="6218D821" w14:textId="77777777" w:rsidTr="0030002E">
        <w:trPr>
          <w:jc w:val="center"/>
        </w:trPr>
        <w:tc>
          <w:tcPr>
            <w:tcW w:w="5864" w:type="dxa"/>
            <w:vMerge/>
          </w:tcPr>
          <w:p w14:paraId="31FC3140" w14:textId="77777777" w:rsidR="00D011F2" w:rsidRPr="00B70107" w:rsidRDefault="00D011F2" w:rsidP="0030002E">
            <w:pPr>
              <w:rPr>
                <w:rFonts w:ascii="Calibri" w:hAnsi="Calibri" w:cs="Calibri"/>
              </w:rPr>
            </w:pPr>
          </w:p>
        </w:tc>
        <w:tc>
          <w:tcPr>
            <w:tcW w:w="3912" w:type="dxa"/>
            <w:gridSpan w:val="2"/>
          </w:tcPr>
          <w:p w14:paraId="32FA1FD2"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60%</w:t>
            </w:r>
          </w:p>
        </w:tc>
        <w:tc>
          <w:tcPr>
            <w:tcW w:w="3686" w:type="dxa"/>
            <w:gridSpan w:val="2"/>
          </w:tcPr>
          <w:p w14:paraId="40A37E46"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15</w:t>
            </w:r>
          </w:p>
        </w:tc>
        <w:tc>
          <w:tcPr>
            <w:tcW w:w="1630" w:type="dxa"/>
            <w:vMerge/>
          </w:tcPr>
          <w:p w14:paraId="5B302C1A" w14:textId="77777777" w:rsidR="00D011F2" w:rsidRPr="00B70107" w:rsidRDefault="00D011F2" w:rsidP="0030002E">
            <w:pPr>
              <w:jc w:val="center"/>
              <w:rPr>
                <w:rFonts w:ascii="Calibri" w:hAnsi="Calibri" w:cs="Calibri"/>
              </w:rPr>
            </w:pPr>
          </w:p>
        </w:tc>
      </w:tr>
      <w:tr w:rsidR="00D011F2" w:rsidRPr="00B70107" w14:paraId="6AC06658" w14:textId="77777777" w:rsidTr="0030002E">
        <w:trPr>
          <w:jc w:val="center"/>
        </w:trPr>
        <w:tc>
          <w:tcPr>
            <w:tcW w:w="5864" w:type="dxa"/>
            <w:vMerge/>
          </w:tcPr>
          <w:p w14:paraId="6E285F66" w14:textId="77777777" w:rsidR="00D011F2" w:rsidRPr="00B70107" w:rsidRDefault="00D011F2" w:rsidP="0030002E">
            <w:pPr>
              <w:rPr>
                <w:rFonts w:ascii="Calibri" w:hAnsi="Calibri" w:cs="Calibri"/>
              </w:rPr>
            </w:pPr>
          </w:p>
        </w:tc>
        <w:tc>
          <w:tcPr>
            <w:tcW w:w="3912" w:type="dxa"/>
            <w:gridSpan w:val="2"/>
          </w:tcPr>
          <w:p w14:paraId="1DE0BE19" w14:textId="77777777" w:rsidR="00D011F2" w:rsidRPr="00B70107" w:rsidRDefault="00D011F2" w:rsidP="0030002E">
            <w:pPr>
              <w:jc w:val="center"/>
              <w:rPr>
                <w:rFonts w:ascii="Calibri" w:hAnsi="Calibri" w:cs="Calibri"/>
              </w:rPr>
            </w:pPr>
            <w:r w:rsidRPr="00B70107">
              <w:rPr>
                <w:rFonts w:ascii="Calibri" w:hAnsi="Calibri" w:cs="Calibri"/>
              </w:rPr>
              <w:t>40%</w:t>
            </w:r>
          </w:p>
        </w:tc>
        <w:tc>
          <w:tcPr>
            <w:tcW w:w="3686" w:type="dxa"/>
            <w:gridSpan w:val="2"/>
          </w:tcPr>
          <w:p w14:paraId="51E98A3D" w14:textId="77777777" w:rsidR="00D011F2" w:rsidRPr="00B70107" w:rsidRDefault="00D011F2" w:rsidP="0030002E">
            <w:pPr>
              <w:jc w:val="center"/>
              <w:rPr>
                <w:rFonts w:ascii="Calibri" w:hAnsi="Calibri" w:cs="Calibri"/>
              </w:rPr>
            </w:pPr>
            <w:r w:rsidRPr="00B70107">
              <w:rPr>
                <w:rFonts w:ascii="Calibri" w:hAnsi="Calibri" w:cs="Calibri"/>
              </w:rPr>
              <w:t>10</w:t>
            </w:r>
          </w:p>
        </w:tc>
        <w:tc>
          <w:tcPr>
            <w:tcW w:w="1630" w:type="dxa"/>
            <w:vMerge/>
          </w:tcPr>
          <w:p w14:paraId="0769391B" w14:textId="77777777" w:rsidR="00D011F2" w:rsidRPr="00B70107" w:rsidRDefault="00D011F2" w:rsidP="0030002E">
            <w:pPr>
              <w:jc w:val="center"/>
              <w:rPr>
                <w:rFonts w:ascii="Calibri" w:hAnsi="Calibri" w:cs="Calibri"/>
              </w:rPr>
            </w:pPr>
          </w:p>
        </w:tc>
      </w:tr>
      <w:tr w:rsidR="00D011F2" w:rsidRPr="00B70107" w14:paraId="6D8505E0" w14:textId="77777777" w:rsidTr="0030002E">
        <w:trPr>
          <w:jc w:val="center"/>
        </w:trPr>
        <w:tc>
          <w:tcPr>
            <w:tcW w:w="5864" w:type="dxa"/>
            <w:vMerge/>
          </w:tcPr>
          <w:p w14:paraId="72233E3E" w14:textId="77777777" w:rsidR="00D011F2" w:rsidRPr="00B70107" w:rsidRDefault="00D011F2" w:rsidP="0030002E">
            <w:pPr>
              <w:rPr>
                <w:rFonts w:ascii="Calibri" w:hAnsi="Calibri" w:cs="Calibri"/>
              </w:rPr>
            </w:pPr>
          </w:p>
        </w:tc>
        <w:tc>
          <w:tcPr>
            <w:tcW w:w="3912" w:type="dxa"/>
            <w:gridSpan w:val="2"/>
          </w:tcPr>
          <w:p w14:paraId="4D17CF87" w14:textId="77777777" w:rsidR="00D011F2" w:rsidRPr="00B70107" w:rsidRDefault="00D011F2" w:rsidP="0030002E">
            <w:pPr>
              <w:jc w:val="center"/>
              <w:rPr>
                <w:rFonts w:ascii="Calibri" w:hAnsi="Calibri" w:cs="Calibri"/>
              </w:rPr>
            </w:pPr>
            <w:r w:rsidRPr="00B70107">
              <w:rPr>
                <w:rFonts w:ascii="Calibri" w:hAnsi="Calibri" w:cs="Calibri"/>
              </w:rPr>
              <w:t>20%</w:t>
            </w:r>
          </w:p>
        </w:tc>
        <w:tc>
          <w:tcPr>
            <w:tcW w:w="3686" w:type="dxa"/>
            <w:gridSpan w:val="2"/>
          </w:tcPr>
          <w:p w14:paraId="25814363" w14:textId="77777777" w:rsidR="00D011F2" w:rsidRPr="00B70107" w:rsidRDefault="00D011F2" w:rsidP="0030002E">
            <w:pPr>
              <w:jc w:val="center"/>
              <w:rPr>
                <w:rFonts w:ascii="Calibri" w:hAnsi="Calibri" w:cs="Calibri"/>
              </w:rPr>
            </w:pPr>
            <w:r w:rsidRPr="00B70107">
              <w:rPr>
                <w:rFonts w:ascii="Calibri" w:hAnsi="Calibri" w:cs="Calibri"/>
              </w:rPr>
              <w:t>5</w:t>
            </w:r>
          </w:p>
        </w:tc>
        <w:tc>
          <w:tcPr>
            <w:tcW w:w="1630" w:type="dxa"/>
            <w:vMerge/>
          </w:tcPr>
          <w:p w14:paraId="6B030288" w14:textId="77777777" w:rsidR="00D011F2" w:rsidRPr="00B70107" w:rsidRDefault="00D011F2" w:rsidP="0030002E">
            <w:pPr>
              <w:jc w:val="center"/>
              <w:rPr>
                <w:rFonts w:ascii="Calibri" w:hAnsi="Calibri" w:cs="Calibri"/>
              </w:rPr>
            </w:pPr>
          </w:p>
        </w:tc>
      </w:tr>
      <w:tr w:rsidR="00D011F2" w:rsidRPr="00B70107" w14:paraId="67FA7121" w14:textId="77777777" w:rsidTr="0030002E">
        <w:trPr>
          <w:jc w:val="center"/>
        </w:trPr>
        <w:tc>
          <w:tcPr>
            <w:tcW w:w="5864" w:type="dxa"/>
            <w:vMerge/>
          </w:tcPr>
          <w:p w14:paraId="233F66ED" w14:textId="77777777" w:rsidR="00D011F2" w:rsidRPr="00B70107" w:rsidRDefault="00D011F2" w:rsidP="0030002E">
            <w:pPr>
              <w:jc w:val="center"/>
              <w:rPr>
                <w:rFonts w:ascii="Calibri" w:hAnsi="Calibri" w:cs="Calibri"/>
              </w:rPr>
            </w:pPr>
          </w:p>
        </w:tc>
        <w:tc>
          <w:tcPr>
            <w:tcW w:w="3912" w:type="dxa"/>
            <w:gridSpan w:val="2"/>
          </w:tcPr>
          <w:p w14:paraId="525C5203"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3686" w:type="dxa"/>
            <w:gridSpan w:val="2"/>
          </w:tcPr>
          <w:p w14:paraId="3AC3149B"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1630" w:type="dxa"/>
            <w:vMerge/>
          </w:tcPr>
          <w:p w14:paraId="68FA5E24" w14:textId="77777777" w:rsidR="00D011F2" w:rsidRPr="00B70107" w:rsidRDefault="00D011F2" w:rsidP="0030002E">
            <w:pPr>
              <w:jc w:val="center"/>
              <w:rPr>
                <w:rFonts w:ascii="Calibri" w:hAnsi="Calibri" w:cs="Calibri"/>
              </w:rPr>
            </w:pPr>
          </w:p>
        </w:tc>
      </w:tr>
      <w:tr w:rsidR="00D011F2" w:rsidRPr="00B70107" w14:paraId="09702C62" w14:textId="77777777" w:rsidTr="0030002E">
        <w:trPr>
          <w:jc w:val="center"/>
        </w:trPr>
        <w:tc>
          <w:tcPr>
            <w:tcW w:w="5864" w:type="dxa"/>
            <w:vMerge w:val="restart"/>
          </w:tcPr>
          <w:p w14:paraId="0DD2E7F7" w14:textId="77777777" w:rsidR="00D011F2" w:rsidRPr="00B70107" w:rsidRDefault="00D011F2" w:rsidP="0030002E">
            <w:pPr>
              <w:rPr>
                <w:rFonts w:ascii="Calibri" w:hAnsi="Calibri" w:cs="Calibri"/>
                <w:b/>
                <w:bCs/>
              </w:rPr>
            </w:pPr>
            <w:r w:rsidRPr="00B70107">
              <w:rPr>
                <w:rFonts w:ascii="Calibri" w:hAnsi="Calibri" w:cs="Calibri"/>
                <w:b/>
                <w:bCs/>
              </w:rPr>
              <w:t>Identifiable Reporting Structures</w:t>
            </w:r>
          </w:p>
          <w:p w14:paraId="6F19B490" w14:textId="77777777" w:rsidR="00D011F2" w:rsidRPr="00B70107" w:rsidRDefault="00D011F2" w:rsidP="0030002E">
            <w:pPr>
              <w:rPr>
                <w:rFonts w:ascii="Calibri" w:hAnsi="Calibri" w:cs="Calibri"/>
              </w:rPr>
            </w:pPr>
          </w:p>
          <w:p w14:paraId="4830DD3E" w14:textId="77777777" w:rsidR="00D011F2" w:rsidRPr="00B70107" w:rsidRDefault="00D011F2" w:rsidP="0030002E">
            <w:pPr>
              <w:rPr>
                <w:rFonts w:ascii="Calibri" w:hAnsi="Calibri" w:cs="Calibri"/>
              </w:rPr>
            </w:pPr>
            <w:r w:rsidRPr="00B70107">
              <w:rPr>
                <w:rFonts w:ascii="Calibri" w:hAnsi="Calibri" w:cs="Calibri"/>
              </w:rPr>
              <w:t>Strategic documents with explicit reporting systems including frequency and format of reports</w:t>
            </w:r>
          </w:p>
        </w:tc>
        <w:tc>
          <w:tcPr>
            <w:tcW w:w="3912" w:type="dxa"/>
            <w:gridSpan w:val="2"/>
          </w:tcPr>
          <w:p w14:paraId="15A460C7" w14:textId="77777777" w:rsidR="00D011F2" w:rsidRPr="00B70107" w:rsidRDefault="00D011F2" w:rsidP="0030002E">
            <w:pPr>
              <w:jc w:val="center"/>
              <w:rPr>
                <w:rFonts w:ascii="Calibri" w:hAnsi="Calibri" w:cs="Calibri"/>
              </w:rPr>
            </w:pPr>
            <w:r w:rsidRPr="00B70107">
              <w:rPr>
                <w:rFonts w:ascii="Calibri" w:hAnsi="Calibri" w:cs="Calibri"/>
                <w:b/>
                <w:bCs/>
              </w:rPr>
              <w:t>Proportion (%) of Policies with Identified Systems for Reporting Delivery of Actions</w:t>
            </w:r>
          </w:p>
        </w:tc>
        <w:tc>
          <w:tcPr>
            <w:tcW w:w="3686" w:type="dxa"/>
            <w:gridSpan w:val="2"/>
          </w:tcPr>
          <w:p w14:paraId="5E21702F" w14:textId="77777777" w:rsidR="00D011F2" w:rsidRPr="00B70107" w:rsidRDefault="00D011F2" w:rsidP="0030002E">
            <w:pPr>
              <w:jc w:val="center"/>
              <w:rPr>
                <w:rFonts w:ascii="Calibri" w:hAnsi="Calibri" w:cs="Calibri"/>
                <w:b/>
                <w:bCs/>
              </w:rPr>
            </w:pPr>
            <w:r w:rsidRPr="00B70107">
              <w:rPr>
                <w:rFonts w:ascii="Calibri" w:hAnsi="Calibri" w:cs="Calibri"/>
                <w:b/>
                <w:bCs/>
              </w:rPr>
              <w:t>Score</w:t>
            </w:r>
          </w:p>
        </w:tc>
        <w:tc>
          <w:tcPr>
            <w:tcW w:w="1630" w:type="dxa"/>
            <w:vMerge w:val="restart"/>
          </w:tcPr>
          <w:p w14:paraId="43D99643" w14:textId="77777777" w:rsidR="00D011F2" w:rsidRPr="00B70107" w:rsidRDefault="00D011F2" w:rsidP="0030002E">
            <w:pPr>
              <w:rPr>
                <w:rFonts w:ascii="Calibri" w:hAnsi="Calibri" w:cs="Calibri"/>
              </w:rPr>
            </w:pPr>
          </w:p>
          <w:p w14:paraId="2C24ACA2" w14:textId="77777777" w:rsidR="00D011F2" w:rsidRPr="00B70107" w:rsidRDefault="00D011F2" w:rsidP="0030002E">
            <w:pPr>
              <w:jc w:val="center"/>
              <w:rPr>
                <w:rFonts w:ascii="Calibri" w:hAnsi="Calibri" w:cs="Calibri"/>
              </w:rPr>
            </w:pPr>
          </w:p>
          <w:p w14:paraId="15FF97D3" w14:textId="43B7BE9E" w:rsidR="00D011F2" w:rsidRPr="00B70107" w:rsidRDefault="00BD0171" w:rsidP="0030002E">
            <w:pPr>
              <w:jc w:val="center"/>
              <w:rPr>
                <w:rFonts w:ascii="Calibri" w:hAnsi="Calibri" w:cs="Calibri"/>
              </w:rPr>
            </w:pPr>
            <w:r w:rsidRPr="00B70107">
              <w:rPr>
                <w:rFonts w:ascii="Calibri" w:hAnsi="Calibri" w:cs="Calibri"/>
              </w:rPr>
              <w:t>5</w:t>
            </w:r>
          </w:p>
        </w:tc>
      </w:tr>
      <w:tr w:rsidR="00D011F2" w:rsidRPr="00B70107" w14:paraId="34C95B7E" w14:textId="77777777" w:rsidTr="0030002E">
        <w:trPr>
          <w:jc w:val="center"/>
        </w:trPr>
        <w:tc>
          <w:tcPr>
            <w:tcW w:w="5864" w:type="dxa"/>
            <w:vMerge/>
          </w:tcPr>
          <w:p w14:paraId="2F635DF4" w14:textId="77777777" w:rsidR="00D011F2" w:rsidRPr="00B70107" w:rsidRDefault="00D011F2" w:rsidP="0030002E">
            <w:pPr>
              <w:rPr>
                <w:rFonts w:ascii="Calibri" w:hAnsi="Calibri" w:cs="Calibri"/>
              </w:rPr>
            </w:pPr>
          </w:p>
        </w:tc>
        <w:tc>
          <w:tcPr>
            <w:tcW w:w="3912" w:type="dxa"/>
            <w:gridSpan w:val="2"/>
          </w:tcPr>
          <w:p w14:paraId="121835E1" w14:textId="77777777" w:rsidR="00D011F2" w:rsidRPr="00B70107" w:rsidRDefault="00D011F2" w:rsidP="0030002E">
            <w:pPr>
              <w:jc w:val="center"/>
              <w:rPr>
                <w:rFonts w:ascii="Calibri" w:hAnsi="Calibri" w:cs="Calibri"/>
              </w:rPr>
            </w:pPr>
            <w:r w:rsidRPr="00B70107">
              <w:rPr>
                <w:rFonts w:ascii="Calibri" w:hAnsi="Calibri" w:cs="Calibri"/>
              </w:rPr>
              <w:t>100%</w:t>
            </w:r>
          </w:p>
        </w:tc>
        <w:tc>
          <w:tcPr>
            <w:tcW w:w="3686" w:type="dxa"/>
            <w:gridSpan w:val="2"/>
          </w:tcPr>
          <w:p w14:paraId="45D7C338" w14:textId="77777777" w:rsidR="00D011F2" w:rsidRPr="00B70107" w:rsidRDefault="00D011F2" w:rsidP="0030002E">
            <w:pPr>
              <w:jc w:val="center"/>
              <w:rPr>
                <w:rFonts w:ascii="Calibri" w:hAnsi="Calibri" w:cs="Calibri"/>
              </w:rPr>
            </w:pPr>
            <w:r w:rsidRPr="00B70107">
              <w:rPr>
                <w:rFonts w:ascii="Calibri" w:hAnsi="Calibri" w:cs="Calibri"/>
              </w:rPr>
              <w:t>15</w:t>
            </w:r>
          </w:p>
        </w:tc>
        <w:tc>
          <w:tcPr>
            <w:tcW w:w="1630" w:type="dxa"/>
            <w:vMerge/>
          </w:tcPr>
          <w:p w14:paraId="016903F4" w14:textId="77777777" w:rsidR="00D011F2" w:rsidRPr="00B70107" w:rsidRDefault="00D011F2" w:rsidP="0030002E">
            <w:pPr>
              <w:rPr>
                <w:rFonts w:ascii="Calibri" w:hAnsi="Calibri" w:cs="Calibri"/>
              </w:rPr>
            </w:pPr>
          </w:p>
        </w:tc>
      </w:tr>
      <w:tr w:rsidR="00D011F2" w:rsidRPr="00B70107" w14:paraId="4B54BD66" w14:textId="77777777" w:rsidTr="0030002E">
        <w:trPr>
          <w:jc w:val="center"/>
        </w:trPr>
        <w:tc>
          <w:tcPr>
            <w:tcW w:w="5864" w:type="dxa"/>
            <w:vMerge/>
          </w:tcPr>
          <w:p w14:paraId="2BC7BEED" w14:textId="77777777" w:rsidR="00D011F2" w:rsidRPr="00B70107" w:rsidRDefault="00D011F2" w:rsidP="0030002E">
            <w:pPr>
              <w:rPr>
                <w:rFonts w:ascii="Calibri" w:hAnsi="Calibri" w:cs="Calibri"/>
              </w:rPr>
            </w:pPr>
          </w:p>
        </w:tc>
        <w:tc>
          <w:tcPr>
            <w:tcW w:w="3912" w:type="dxa"/>
            <w:gridSpan w:val="2"/>
          </w:tcPr>
          <w:p w14:paraId="28F45A63" w14:textId="77777777" w:rsidR="00D011F2" w:rsidRPr="00B70107" w:rsidRDefault="00D011F2" w:rsidP="0030002E">
            <w:pPr>
              <w:jc w:val="center"/>
              <w:rPr>
                <w:rFonts w:ascii="Calibri" w:hAnsi="Calibri" w:cs="Calibri"/>
              </w:rPr>
            </w:pPr>
            <w:r w:rsidRPr="00B70107">
              <w:rPr>
                <w:rFonts w:ascii="Calibri" w:hAnsi="Calibri" w:cs="Calibri"/>
              </w:rPr>
              <w:t>75%</w:t>
            </w:r>
          </w:p>
        </w:tc>
        <w:tc>
          <w:tcPr>
            <w:tcW w:w="3686" w:type="dxa"/>
            <w:gridSpan w:val="2"/>
          </w:tcPr>
          <w:p w14:paraId="413C4059" w14:textId="77777777" w:rsidR="00D011F2" w:rsidRPr="00B70107" w:rsidRDefault="00D011F2" w:rsidP="0030002E">
            <w:pPr>
              <w:jc w:val="center"/>
              <w:rPr>
                <w:rFonts w:ascii="Calibri" w:hAnsi="Calibri" w:cs="Calibri"/>
              </w:rPr>
            </w:pPr>
            <w:r w:rsidRPr="00B70107">
              <w:rPr>
                <w:rFonts w:ascii="Calibri" w:hAnsi="Calibri" w:cs="Calibri"/>
              </w:rPr>
              <w:t>12.5</w:t>
            </w:r>
          </w:p>
        </w:tc>
        <w:tc>
          <w:tcPr>
            <w:tcW w:w="1630" w:type="dxa"/>
            <w:vMerge/>
          </w:tcPr>
          <w:p w14:paraId="3F7D7741" w14:textId="77777777" w:rsidR="00D011F2" w:rsidRPr="00B70107" w:rsidRDefault="00D011F2" w:rsidP="0030002E">
            <w:pPr>
              <w:rPr>
                <w:rFonts w:ascii="Calibri" w:hAnsi="Calibri" w:cs="Calibri"/>
              </w:rPr>
            </w:pPr>
          </w:p>
        </w:tc>
      </w:tr>
      <w:tr w:rsidR="00D011F2" w:rsidRPr="00B70107" w14:paraId="6C0889AF" w14:textId="77777777" w:rsidTr="0030002E">
        <w:trPr>
          <w:jc w:val="center"/>
        </w:trPr>
        <w:tc>
          <w:tcPr>
            <w:tcW w:w="5864" w:type="dxa"/>
            <w:vMerge/>
          </w:tcPr>
          <w:p w14:paraId="0CF2C228" w14:textId="77777777" w:rsidR="00D011F2" w:rsidRPr="00B70107" w:rsidRDefault="00D011F2" w:rsidP="0030002E">
            <w:pPr>
              <w:rPr>
                <w:rFonts w:ascii="Calibri" w:hAnsi="Calibri" w:cs="Calibri"/>
              </w:rPr>
            </w:pPr>
          </w:p>
        </w:tc>
        <w:tc>
          <w:tcPr>
            <w:tcW w:w="3912" w:type="dxa"/>
            <w:gridSpan w:val="2"/>
          </w:tcPr>
          <w:p w14:paraId="580F32AD" w14:textId="77777777" w:rsidR="00D011F2" w:rsidRPr="00B70107" w:rsidRDefault="00D011F2" w:rsidP="0030002E">
            <w:pPr>
              <w:jc w:val="center"/>
              <w:rPr>
                <w:rFonts w:ascii="Calibri" w:hAnsi="Calibri" w:cs="Calibri"/>
              </w:rPr>
            </w:pPr>
            <w:r w:rsidRPr="00B70107">
              <w:rPr>
                <w:rFonts w:ascii="Calibri" w:hAnsi="Calibri" w:cs="Calibri"/>
              </w:rPr>
              <w:t>67%</w:t>
            </w:r>
          </w:p>
        </w:tc>
        <w:tc>
          <w:tcPr>
            <w:tcW w:w="3686" w:type="dxa"/>
            <w:gridSpan w:val="2"/>
          </w:tcPr>
          <w:p w14:paraId="5A17EEE3" w14:textId="77777777" w:rsidR="00D011F2" w:rsidRPr="00B70107" w:rsidRDefault="00D011F2" w:rsidP="0030002E">
            <w:pPr>
              <w:jc w:val="center"/>
              <w:rPr>
                <w:rFonts w:ascii="Calibri" w:hAnsi="Calibri" w:cs="Calibri"/>
              </w:rPr>
            </w:pPr>
            <w:r w:rsidRPr="00B70107">
              <w:rPr>
                <w:rFonts w:ascii="Calibri" w:hAnsi="Calibri" w:cs="Calibri"/>
              </w:rPr>
              <w:t>10</w:t>
            </w:r>
          </w:p>
        </w:tc>
        <w:tc>
          <w:tcPr>
            <w:tcW w:w="1630" w:type="dxa"/>
            <w:vMerge/>
          </w:tcPr>
          <w:p w14:paraId="633464B6" w14:textId="77777777" w:rsidR="00D011F2" w:rsidRPr="00B70107" w:rsidRDefault="00D011F2" w:rsidP="0030002E">
            <w:pPr>
              <w:rPr>
                <w:rFonts w:ascii="Calibri" w:hAnsi="Calibri" w:cs="Calibri"/>
              </w:rPr>
            </w:pPr>
          </w:p>
        </w:tc>
      </w:tr>
      <w:tr w:rsidR="00D011F2" w:rsidRPr="00B70107" w14:paraId="1FB505B1" w14:textId="77777777" w:rsidTr="0030002E">
        <w:trPr>
          <w:jc w:val="center"/>
        </w:trPr>
        <w:tc>
          <w:tcPr>
            <w:tcW w:w="5864" w:type="dxa"/>
            <w:vMerge/>
          </w:tcPr>
          <w:p w14:paraId="1E96EA2C" w14:textId="77777777" w:rsidR="00D011F2" w:rsidRPr="00B70107" w:rsidRDefault="00D011F2" w:rsidP="0030002E">
            <w:pPr>
              <w:rPr>
                <w:rFonts w:ascii="Calibri" w:hAnsi="Calibri" w:cs="Calibri"/>
              </w:rPr>
            </w:pPr>
          </w:p>
        </w:tc>
        <w:tc>
          <w:tcPr>
            <w:tcW w:w="3912" w:type="dxa"/>
            <w:gridSpan w:val="2"/>
          </w:tcPr>
          <w:p w14:paraId="1EA26D88" w14:textId="77777777" w:rsidR="00D011F2" w:rsidRPr="00B70107" w:rsidRDefault="00D011F2" w:rsidP="0030002E">
            <w:pPr>
              <w:jc w:val="center"/>
              <w:rPr>
                <w:rFonts w:ascii="Calibri" w:hAnsi="Calibri" w:cs="Calibri"/>
              </w:rPr>
            </w:pPr>
            <w:r w:rsidRPr="00B70107">
              <w:rPr>
                <w:rFonts w:ascii="Calibri" w:hAnsi="Calibri" w:cs="Calibri"/>
              </w:rPr>
              <w:t>50%</w:t>
            </w:r>
          </w:p>
        </w:tc>
        <w:tc>
          <w:tcPr>
            <w:tcW w:w="3686" w:type="dxa"/>
            <w:gridSpan w:val="2"/>
          </w:tcPr>
          <w:p w14:paraId="5850C230" w14:textId="77777777" w:rsidR="00D011F2" w:rsidRPr="00B70107" w:rsidRDefault="00D011F2" w:rsidP="0030002E">
            <w:pPr>
              <w:jc w:val="center"/>
              <w:rPr>
                <w:rFonts w:ascii="Calibri" w:hAnsi="Calibri" w:cs="Calibri"/>
              </w:rPr>
            </w:pPr>
            <w:r w:rsidRPr="00B70107">
              <w:rPr>
                <w:rFonts w:ascii="Calibri" w:hAnsi="Calibri" w:cs="Calibri"/>
              </w:rPr>
              <w:t>7.5</w:t>
            </w:r>
          </w:p>
        </w:tc>
        <w:tc>
          <w:tcPr>
            <w:tcW w:w="1630" w:type="dxa"/>
            <w:vMerge/>
          </w:tcPr>
          <w:p w14:paraId="2D3685BA" w14:textId="77777777" w:rsidR="00D011F2" w:rsidRPr="00B70107" w:rsidRDefault="00D011F2" w:rsidP="0030002E">
            <w:pPr>
              <w:rPr>
                <w:rFonts w:ascii="Calibri" w:hAnsi="Calibri" w:cs="Calibri"/>
              </w:rPr>
            </w:pPr>
          </w:p>
        </w:tc>
      </w:tr>
      <w:tr w:rsidR="00D011F2" w:rsidRPr="00B70107" w14:paraId="735C10E2" w14:textId="77777777" w:rsidTr="0030002E">
        <w:trPr>
          <w:jc w:val="center"/>
        </w:trPr>
        <w:tc>
          <w:tcPr>
            <w:tcW w:w="5864" w:type="dxa"/>
            <w:vMerge/>
          </w:tcPr>
          <w:p w14:paraId="7EA817F6" w14:textId="77777777" w:rsidR="00D011F2" w:rsidRPr="00B70107" w:rsidRDefault="00D011F2" w:rsidP="0030002E">
            <w:pPr>
              <w:rPr>
                <w:rFonts w:ascii="Calibri" w:hAnsi="Calibri" w:cs="Calibri"/>
              </w:rPr>
            </w:pPr>
          </w:p>
        </w:tc>
        <w:tc>
          <w:tcPr>
            <w:tcW w:w="3912" w:type="dxa"/>
            <w:gridSpan w:val="2"/>
          </w:tcPr>
          <w:p w14:paraId="11AC2F35"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33%</w:t>
            </w:r>
          </w:p>
        </w:tc>
        <w:tc>
          <w:tcPr>
            <w:tcW w:w="3686" w:type="dxa"/>
            <w:gridSpan w:val="2"/>
          </w:tcPr>
          <w:p w14:paraId="159BBB08"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5</w:t>
            </w:r>
          </w:p>
        </w:tc>
        <w:tc>
          <w:tcPr>
            <w:tcW w:w="1630" w:type="dxa"/>
            <w:vMerge/>
          </w:tcPr>
          <w:p w14:paraId="1262CCEB" w14:textId="77777777" w:rsidR="00D011F2" w:rsidRPr="00B70107" w:rsidRDefault="00D011F2" w:rsidP="0030002E">
            <w:pPr>
              <w:rPr>
                <w:rFonts w:ascii="Calibri" w:hAnsi="Calibri" w:cs="Calibri"/>
              </w:rPr>
            </w:pPr>
          </w:p>
        </w:tc>
      </w:tr>
      <w:tr w:rsidR="00D011F2" w:rsidRPr="00B70107" w14:paraId="64A06D1A" w14:textId="77777777" w:rsidTr="0030002E">
        <w:trPr>
          <w:jc w:val="center"/>
        </w:trPr>
        <w:tc>
          <w:tcPr>
            <w:tcW w:w="5864" w:type="dxa"/>
            <w:vMerge/>
          </w:tcPr>
          <w:p w14:paraId="2E00B32D" w14:textId="77777777" w:rsidR="00D011F2" w:rsidRPr="00B70107" w:rsidRDefault="00D011F2" w:rsidP="0030002E">
            <w:pPr>
              <w:rPr>
                <w:rFonts w:ascii="Calibri" w:hAnsi="Calibri" w:cs="Calibri"/>
              </w:rPr>
            </w:pPr>
          </w:p>
        </w:tc>
        <w:tc>
          <w:tcPr>
            <w:tcW w:w="3912" w:type="dxa"/>
            <w:gridSpan w:val="2"/>
          </w:tcPr>
          <w:p w14:paraId="6BE68F99" w14:textId="77777777" w:rsidR="00D011F2" w:rsidRPr="00B70107" w:rsidRDefault="00D011F2" w:rsidP="0030002E">
            <w:pPr>
              <w:jc w:val="center"/>
              <w:rPr>
                <w:rFonts w:ascii="Calibri" w:hAnsi="Calibri" w:cs="Calibri"/>
              </w:rPr>
            </w:pPr>
            <w:r w:rsidRPr="00B70107">
              <w:rPr>
                <w:rFonts w:ascii="Calibri" w:hAnsi="Calibri" w:cs="Calibri"/>
              </w:rPr>
              <w:t>20%</w:t>
            </w:r>
          </w:p>
        </w:tc>
        <w:tc>
          <w:tcPr>
            <w:tcW w:w="3686" w:type="dxa"/>
            <w:gridSpan w:val="2"/>
          </w:tcPr>
          <w:p w14:paraId="071FE103" w14:textId="77777777" w:rsidR="00D011F2" w:rsidRPr="00B70107" w:rsidRDefault="00D011F2" w:rsidP="0030002E">
            <w:pPr>
              <w:jc w:val="center"/>
              <w:rPr>
                <w:rFonts w:ascii="Calibri" w:hAnsi="Calibri" w:cs="Calibri"/>
              </w:rPr>
            </w:pPr>
            <w:r w:rsidRPr="00B70107">
              <w:rPr>
                <w:rFonts w:ascii="Calibri" w:hAnsi="Calibri" w:cs="Calibri"/>
              </w:rPr>
              <w:t>3</w:t>
            </w:r>
          </w:p>
        </w:tc>
        <w:tc>
          <w:tcPr>
            <w:tcW w:w="1630" w:type="dxa"/>
            <w:vMerge/>
          </w:tcPr>
          <w:p w14:paraId="6D07F073" w14:textId="77777777" w:rsidR="00D011F2" w:rsidRPr="00B70107" w:rsidRDefault="00D011F2" w:rsidP="0030002E">
            <w:pPr>
              <w:rPr>
                <w:rFonts w:ascii="Calibri" w:hAnsi="Calibri" w:cs="Calibri"/>
              </w:rPr>
            </w:pPr>
          </w:p>
        </w:tc>
      </w:tr>
      <w:tr w:rsidR="00D011F2" w:rsidRPr="00B70107" w14:paraId="1C92AEA5" w14:textId="77777777" w:rsidTr="0030002E">
        <w:trPr>
          <w:jc w:val="center"/>
        </w:trPr>
        <w:tc>
          <w:tcPr>
            <w:tcW w:w="5864" w:type="dxa"/>
            <w:vMerge/>
          </w:tcPr>
          <w:p w14:paraId="79866C10" w14:textId="77777777" w:rsidR="00D011F2" w:rsidRPr="00B70107" w:rsidRDefault="00D011F2" w:rsidP="0030002E">
            <w:pPr>
              <w:rPr>
                <w:rFonts w:ascii="Calibri" w:hAnsi="Calibri" w:cs="Calibri"/>
              </w:rPr>
            </w:pPr>
          </w:p>
        </w:tc>
        <w:tc>
          <w:tcPr>
            <w:tcW w:w="3912" w:type="dxa"/>
            <w:gridSpan w:val="2"/>
          </w:tcPr>
          <w:p w14:paraId="34EC980D"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3686" w:type="dxa"/>
            <w:gridSpan w:val="2"/>
          </w:tcPr>
          <w:p w14:paraId="7391F679"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1630" w:type="dxa"/>
            <w:vMerge/>
          </w:tcPr>
          <w:p w14:paraId="41A9724C" w14:textId="77777777" w:rsidR="00D011F2" w:rsidRPr="00B70107" w:rsidRDefault="00D011F2" w:rsidP="0030002E">
            <w:pPr>
              <w:rPr>
                <w:rFonts w:ascii="Calibri" w:hAnsi="Calibri" w:cs="Calibri"/>
              </w:rPr>
            </w:pPr>
          </w:p>
        </w:tc>
      </w:tr>
      <w:tr w:rsidR="00D011F2" w:rsidRPr="00B70107" w14:paraId="1E458299" w14:textId="77777777" w:rsidTr="0030002E">
        <w:trPr>
          <w:jc w:val="center"/>
        </w:trPr>
        <w:tc>
          <w:tcPr>
            <w:tcW w:w="5864" w:type="dxa"/>
            <w:vMerge w:val="restart"/>
          </w:tcPr>
          <w:p w14:paraId="4242AC09" w14:textId="77777777" w:rsidR="00D011F2" w:rsidRPr="00B70107" w:rsidRDefault="00D011F2" w:rsidP="0030002E">
            <w:pPr>
              <w:rPr>
                <w:rFonts w:ascii="Calibri" w:hAnsi="Calibri" w:cs="Calibri"/>
                <w:b/>
                <w:bCs/>
              </w:rPr>
            </w:pPr>
            <w:r w:rsidRPr="00B70107">
              <w:rPr>
                <w:rFonts w:ascii="Calibri" w:hAnsi="Calibri" w:cs="Calibri"/>
                <w:b/>
                <w:bCs/>
              </w:rPr>
              <w:t>Identified Funding</w:t>
            </w:r>
          </w:p>
          <w:p w14:paraId="12CEA2AC" w14:textId="77777777" w:rsidR="00D011F2" w:rsidRPr="00B70107" w:rsidRDefault="00D011F2" w:rsidP="0030002E">
            <w:pPr>
              <w:rPr>
                <w:rFonts w:ascii="Calibri" w:hAnsi="Calibri" w:cs="Calibri"/>
              </w:rPr>
            </w:pPr>
          </w:p>
          <w:p w14:paraId="1C436C50" w14:textId="77777777" w:rsidR="00D011F2" w:rsidRPr="00B70107" w:rsidRDefault="00D011F2" w:rsidP="0030002E">
            <w:pPr>
              <w:rPr>
                <w:rFonts w:ascii="Calibri" w:hAnsi="Calibri" w:cs="Calibri"/>
              </w:rPr>
            </w:pPr>
            <w:r w:rsidRPr="00B70107">
              <w:rPr>
                <w:rFonts w:ascii="Calibri" w:hAnsi="Calibri" w:cs="Calibri"/>
              </w:rPr>
              <w:t>Explicit references to funding to support identified actions</w:t>
            </w:r>
          </w:p>
        </w:tc>
        <w:tc>
          <w:tcPr>
            <w:tcW w:w="3912" w:type="dxa"/>
            <w:gridSpan w:val="2"/>
          </w:tcPr>
          <w:p w14:paraId="619F0C02" w14:textId="77777777" w:rsidR="00D011F2" w:rsidRPr="00B70107" w:rsidRDefault="00D011F2" w:rsidP="0030002E">
            <w:pPr>
              <w:jc w:val="center"/>
              <w:rPr>
                <w:rFonts w:ascii="Calibri" w:hAnsi="Calibri" w:cs="Calibri"/>
              </w:rPr>
            </w:pPr>
            <w:r w:rsidRPr="00B70107">
              <w:rPr>
                <w:rFonts w:ascii="Calibri" w:hAnsi="Calibri" w:cs="Calibri"/>
                <w:b/>
                <w:bCs/>
              </w:rPr>
              <w:t>Proportion (%) of Policies with Identified Funding Sources</w:t>
            </w:r>
          </w:p>
        </w:tc>
        <w:tc>
          <w:tcPr>
            <w:tcW w:w="3686" w:type="dxa"/>
            <w:gridSpan w:val="2"/>
          </w:tcPr>
          <w:p w14:paraId="2D9C857D" w14:textId="77777777" w:rsidR="00D011F2" w:rsidRPr="00B70107" w:rsidRDefault="00D011F2" w:rsidP="0030002E">
            <w:pPr>
              <w:jc w:val="center"/>
              <w:rPr>
                <w:rFonts w:ascii="Calibri" w:hAnsi="Calibri" w:cs="Calibri"/>
                <w:b/>
                <w:bCs/>
              </w:rPr>
            </w:pPr>
            <w:r w:rsidRPr="00B70107">
              <w:rPr>
                <w:rFonts w:ascii="Calibri" w:hAnsi="Calibri" w:cs="Calibri"/>
                <w:b/>
                <w:bCs/>
              </w:rPr>
              <w:t>Score</w:t>
            </w:r>
          </w:p>
        </w:tc>
        <w:tc>
          <w:tcPr>
            <w:tcW w:w="1630" w:type="dxa"/>
            <w:vMerge w:val="restart"/>
          </w:tcPr>
          <w:p w14:paraId="68B9E14D" w14:textId="77777777" w:rsidR="00D011F2" w:rsidRPr="00B70107" w:rsidRDefault="00D011F2" w:rsidP="0030002E">
            <w:pPr>
              <w:rPr>
                <w:rFonts w:ascii="Calibri" w:hAnsi="Calibri" w:cs="Calibri"/>
              </w:rPr>
            </w:pPr>
          </w:p>
          <w:p w14:paraId="6A604856" w14:textId="77777777" w:rsidR="00D011F2" w:rsidRPr="00B70107" w:rsidRDefault="00D011F2" w:rsidP="0030002E">
            <w:pPr>
              <w:jc w:val="center"/>
              <w:rPr>
                <w:rFonts w:ascii="Calibri" w:hAnsi="Calibri" w:cs="Calibri"/>
              </w:rPr>
            </w:pPr>
          </w:p>
          <w:p w14:paraId="0AC40D79" w14:textId="7992DBF2" w:rsidR="00D011F2" w:rsidRPr="00B70107" w:rsidRDefault="00BD0171" w:rsidP="0030002E">
            <w:pPr>
              <w:jc w:val="center"/>
              <w:rPr>
                <w:rFonts w:ascii="Calibri" w:hAnsi="Calibri" w:cs="Calibri"/>
              </w:rPr>
            </w:pPr>
            <w:r w:rsidRPr="00B70107">
              <w:rPr>
                <w:rFonts w:ascii="Calibri" w:hAnsi="Calibri" w:cs="Calibri"/>
              </w:rPr>
              <w:t>2</w:t>
            </w:r>
          </w:p>
        </w:tc>
      </w:tr>
      <w:tr w:rsidR="00D011F2" w:rsidRPr="00B70107" w14:paraId="35F57471" w14:textId="77777777" w:rsidTr="0030002E">
        <w:trPr>
          <w:jc w:val="center"/>
        </w:trPr>
        <w:tc>
          <w:tcPr>
            <w:tcW w:w="5864" w:type="dxa"/>
            <w:vMerge/>
          </w:tcPr>
          <w:p w14:paraId="6BAFDE6D" w14:textId="77777777" w:rsidR="00D011F2" w:rsidRPr="00B70107" w:rsidRDefault="00D011F2" w:rsidP="0030002E">
            <w:pPr>
              <w:rPr>
                <w:rFonts w:ascii="Calibri" w:hAnsi="Calibri" w:cs="Calibri"/>
              </w:rPr>
            </w:pPr>
          </w:p>
        </w:tc>
        <w:tc>
          <w:tcPr>
            <w:tcW w:w="3912" w:type="dxa"/>
            <w:gridSpan w:val="2"/>
          </w:tcPr>
          <w:p w14:paraId="54F4FA4D" w14:textId="77777777" w:rsidR="00D011F2" w:rsidRPr="00B70107" w:rsidRDefault="00D011F2" w:rsidP="0030002E">
            <w:pPr>
              <w:jc w:val="center"/>
              <w:rPr>
                <w:rFonts w:ascii="Calibri" w:hAnsi="Calibri" w:cs="Calibri"/>
              </w:rPr>
            </w:pPr>
            <w:r w:rsidRPr="00B70107">
              <w:rPr>
                <w:rFonts w:ascii="Calibri" w:hAnsi="Calibri" w:cs="Calibri"/>
              </w:rPr>
              <w:t>100%</w:t>
            </w:r>
          </w:p>
        </w:tc>
        <w:tc>
          <w:tcPr>
            <w:tcW w:w="3686" w:type="dxa"/>
            <w:gridSpan w:val="2"/>
          </w:tcPr>
          <w:p w14:paraId="55333BCE" w14:textId="77777777" w:rsidR="00D011F2" w:rsidRPr="00B70107" w:rsidRDefault="00D011F2" w:rsidP="0030002E">
            <w:pPr>
              <w:jc w:val="center"/>
              <w:rPr>
                <w:rFonts w:ascii="Calibri" w:hAnsi="Calibri" w:cs="Calibri"/>
              </w:rPr>
            </w:pPr>
            <w:r w:rsidRPr="00B70107">
              <w:rPr>
                <w:rFonts w:ascii="Calibri" w:hAnsi="Calibri" w:cs="Calibri"/>
              </w:rPr>
              <w:t>20</w:t>
            </w:r>
          </w:p>
        </w:tc>
        <w:tc>
          <w:tcPr>
            <w:tcW w:w="1630" w:type="dxa"/>
            <w:vMerge/>
          </w:tcPr>
          <w:p w14:paraId="298A33E4" w14:textId="77777777" w:rsidR="00D011F2" w:rsidRPr="00B70107" w:rsidRDefault="00D011F2" w:rsidP="0030002E">
            <w:pPr>
              <w:rPr>
                <w:rFonts w:ascii="Calibri" w:hAnsi="Calibri" w:cs="Calibri"/>
              </w:rPr>
            </w:pPr>
          </w:p>
        </w:tc>
      </w:tr>
      <w:tr w:rsidR="00D011F2" w:rsidRPr="00B70107" w14:paraId="51AA910F" w14:textId="77777777" w:rsidTr="0030002E">
        <w:trPr>
          <w:jc w:val="center"/>
        </w:trPr>
        <w:tc>
          <w:tcPr>
            <w:tcW w:w="5864" w:type="dxa"/>
            <w:vMerge/>
          </w:tcPr>
          <w:p w14:paraId="2480D8E3" w14:textId="77777777" w:rsidR="00D011F2" w:rsidRPr="00B70107" w:rsidRDefault="00D011F2" w:rsidP="0030002E">
            <w:pPr>
              <w:rPr>
                <w:rFonts w:ascii="Calibri" w:hAnsi="Calibri" w:cs="Calibri"/>
              </w:rPr>
            </w:pPr>
          </w:p>
        </w:tc>
        <w:tc>
          <w:tcPr>
            <w:tcW w:w="3912" w:type="dxa"/>
            <w:gridSpan w:val="2"/>
          </w:tcPr>
          <w:p w14:paraId="7E0D3B07" w14:textId="77777777" w:rsidR="00D011F2" w:rsidRPr="00B70107" w:rsidRDefault="00D011F2" w:rsidP="0030002E">
            <w:pPr>
              <w:jc w:val="center"/>
              <w:rPr>
                <w:rFonts w:ascii="Calibri" w:hAnsi="Calibri" w:cs="Calibri"/>
              </w:rPr>
            </w:pPr>
            <w:r w:rsidRPr="00B70107">
              <w:rPr>
                <w:rFonts w:ascii="Calibri" w:hAnsi="Calibri" w:cs="Calibri"/>
              </w:rPr>
              <w:t>75%</w:t>
            </w:r>
          </w:p>
        </w:tc>
        <w:tc>
          <w:tcPr>
            <w:tcW w:w="3686" w:type="dxa"/>
            <w:gridSpan w:val="2"/>
          </w:tcPr>
          <w:p w14:paraId="5C9E6F15" w14:textId="77777777" w:rsidR="00D011F2" w:rsidRPr="00B70107" w:rsidRDefault="00D011F2" w:rsidP="0030002E">
            <w:pPr>
              <w:jc w:val="center"/>
              <w:rPr>
                <w:rFonts w:ascii="Calibri" w:hAnsi="Calibri" w:cs="Calibri"/>
              </w:rPr>
            </w:pPr>
            <w:r w:rsidRPr="00B70107">
              <w:rPr>
                <w:rFonts w:ascii="Calibri" w:hAnsi="Calibri" w:cs="Calibri"/>
              </w:rPr>
              <w:t>15</w:t>
            </w:r>
          </w:p>
        </w:tc>
        <w:tc>
          <w:tcPr>
            <w:tcW w:w="1630" w:type="dxa"/>
            <w:vMerge/>
          </w:tcPr>
          <w:p w14:paraId="45185611" w14:textId="77777777" w:rsidR="00D011F2" w:rsidRPr="00B70107" w:rsidRDefault="00D011F2" w:rsidP="0030002E">
            <w:pPr>
              <w:rPr>
                <w:rFonts w:ascii="Calibri" w:hAnsi="Calibri" w:cs="Calibri"/>
              </w:rPr>
            </w:pPr>
          </w:p>
        </w:tc>
      </w:tr>
      <w:tr w:rsidR="00D011F2" w:rsidRPr="00B70107" w14:paraId="3A709D61" w14:textId="77777777" w:rsidTr="0030002E">
        <w:trPr>
          <w:jc w:val="center"/>
        </w:trPr>
        <w:tc>
          <w:tcPr>
            <w:tcW w:w="5864" w:type="dxa"/>
            <w:vMerge/>
          </w:tcPr>
          <w:p w14:paraId="178BBFD9" w14:textId="77777777" w:rsidR="00D011F2" w:rsidRPr="00B70107" w:rsidRDefault="00D011F2" w:rsidP="0030002E">
            <w:pPr>
              <w:rPr>
                <w:rFonts w:ascii="Calibri" w:hAnsi="Calibri" w:cs="Calibri"/>
              </w:rPr>
            </w:pPr>
          </w:p>
        </w:tc>
        <w:tc>
          <w:tcPr>
            <w:tcW w:w="3912" w:type="dxa"/>
            <w:gridSpan w:val="2"/>
          </w:tcPr>
          <w:p w14:paraId="674BA1AD" w14:textId="77777777" w:rsidR="00D011F2" w:rsidRPr="00B70107" w:rsidRDefault="00D011F2" w:rsidP="0030002E">
            <w:pPr>
              <w:jc w:val="center"/>
              <w:rPr>
                <w:rFonts w:ascii="Calibri" w:hAnsi="Calibri" w:cs="Calibri"/>
              </w:rPr>
            </w:pPr>
            <w:r w:rsidRPr="00B70107">
              <w:rPr>
                <w:rFonts w:ascii="Calibri" w:hAnsi="Calibri" w:cs="Calibri"/>
              </w:rPr>
              <w:t>50%</w:t>
            </w:r>
          </w:p>
        </w:tc>
        <w:tc>
          <w:tcPr>
            <w:tcW w:w="3686" w:type="dxa"/>
            <w:gridSpan w:val="2"/>
          </w:tcPr>
          <w:p w14:paraId="5B864C61" w14:textId="77777777" w:rsidR="00D011F2" w:rsidRPr="00B70107" w:rsidRDefault="00D011F2" w:rsidP="0030002E">
            <w:pPr>
              <w:jc w:val="center"/>
              <w:rPr>
                <w:rFonts w:ascii="Calibri" w:hAnsi="Calibri" w:cs="Calibri"/>
              </w:rPr>
            </w:pPr>
            <w:r w:rsidRPr="00B70107">
              <w:rPr>
                <w:rFonts w:ascii="Calibri" w:hAnsi="Calibri" w:cs="Calibri"/>
              </w:rPr>
              <w:t>10</w:t>
            </w:r>
          </w:p>
        </w:tc>
        <w:tc>
          <w:tcPr>
            <w:tcW w:w="1630" w:type="dxa"/>
            <w:vMerge/>
          </w:tcPr>
          <w:p w14:paraId="4A2CF99B" w14:textId="77777777" w:rsidR="00D011F2" w:rsidRPr="00B70107" w:rsidRDefault="00D011F2" w:rsidP="0030002E">
            <w:pPr>
              <w:rPr>
                <w:rFonts w:ascii="Calibri" w:hAnsi="Calibri" w:cs="Calibri"/>
              </w:rPr>
            </w:pPr>
          </w:p>
        </w:tc>
      </w:tr>
      <w:tr w:rsidR="00D011F2" w:rsidRPr="00B70107" w14:paraId="55F165EC" w14:textId="77777777" w:rsidTr="0030002E">
        <w:trPr>
          <w:jc w:val="center"/>
        </w:trPr>
        <w:tc>
          <w:tcPr>
            <w:tcW w:w="5864" w:type="dxa"/>
            <w:vMerge/>
          </w:tcPr>
          <w:p w14:paraId="0D526590" w14:textId="77777777" w:rsidR="00D011F2" w:rsidRPr="00B70107" w:rsidRDefault="00D011F2" w:rsidP="0030002E">
            <w:pPr>
              <w:rPr>
                <w:rFonts w:ascii="Calibri" w:hAnsi="Calibri" w:cs="Calibri"/>
              </w:rPr>
            </w:pPr>
          </w:p>
        </w:tc>
        <w:tc>
          <w:tcPr>
            <w:tcW w:w="3912" w:type="dxa"/>
            <w:gridSpan w:val="2"/>
          </w:tcPr>
          <w:p w14:paraId="2D0EF831" w14:textId="77777777" w:rsidR="00D011F2" w:rsidRPr="00B70107" w:rsidRDefault="00D011F2" w:rsidP="0030002E">
            <w:pPr>
              <w:jc w:val="center"/>
              <w:rPr>
                <w:rFonts w:ascii="Calibri" w:hAnsi="Calibri" w:cs="Calibri"/>
              </w:rPr>
            </w:pPr>
            <w:r w:rsidRPr="00B70107">
              <w:rPr>
                <w:rFonts w:ascii="Calibri" w:hAnsi="Calibri" w:cs="Calibri"/>
              </w:rPr>
              <w:t>25%</w:t>
            </w:r>
          </w:p>
        </w:tc>
        <w:tc>
          <w:tcPr>
            <w:tcW w:w="3686" w:type="dxa"/>
            <w:gridSpan w:val="2"/>
          </w:tcPr>
          <w:p w14:paraId="32543017" w14:textId="77777777" w:rsidR="00D011F2" w:rsidRPr="00B70107" w:rsidRDefault="00D011F2" w:rsidP="0030002E">
            <w:pPr>
              <w:jc w:val="center"/>
              <w:rPr>
                <w:rFonts w:ascii="Calibri" w:hAnsi="Calibri" w:cs="Calibri"/>
              </w:rPr>
            </w:pPr>
            <w:r w:rsidRPr="00B70107">
              <w:rPr>
                <w:rFonts w:ascii="Calibri" w:hAnsi="Calibri" w:cs="Calibri"/>
              </w:rPr>
              <w:t>5</w:t>
            </w:r>
          </w:p>
        </w:tc>
        <w:tc>
          <w:tcPr>
            <w:tcW w:w="1630" w:type="dxa"/>
            <w:vMerge/>
          </w:tcPr>
          <w:p w14:paraId="62C5B659" w14:textId="77777777" w:rsidR="00D011F2" w:rsidRPr="00B70107" w:rsidRDefault="00D011F2" w:rsidP="0030002E">
            <w:pPr>
              <w:rPr>
                <w:rFonts w:ascii="Calibri" w:hAnsi="Calibri" w:cs="Calibri"/>
              </w:rPr>
            </w:pPr>
          </w:p>
        </w:tc>
      </w:tr>
      <w:tr w:rsidR="00D011F2" w:rsidRPr="00B70107" w14:paraId="17B27D15" w14:textId="77777777" w:rsidTr="0030002E">
        <w:trPr>
          <w:jc w:val="center"/>
        </w:trPr>
        <w:tc>
          <w:tcPr>
            <w:tcW w:w="5864" w:type="dxa"/>
            <w:vMerge/>
          </w:tcPr>
          <w:p w14:paraId="28DFF6A9" w14:textId="77777777" w:rsidR="00D011F2" w:rsidRPr="00B70107" w:rsidRDefault="00D011F2" w:rsidP="0030002E">
            <w:pPr>
              <w:rPr>
                <w:rFonts w:ascii="Calibri" w:hAnsi="Calibri" w:cs="Calibri"/>
              </w:rPr>
            </w:pPr>
          </w:p>
        </w:tc>
        <w:tc>
          <w:tcPr>
            <w:tcW w:w="3912" w:type="dxa"/>
            <w:gridSpan w:val="2"/>
          </w:tcPr>
          <w:p w14:paraId="330688C3"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10%</w:t>
            </w:r>
          </w:p>
        </w:tc>
        <w:tc>
          <w:tcPr>
            <w:tcW w:w="3686" w:type="dxa"/>
            <w:gridSpan w:val="2"/>
          </w:tcPr>
          <w:p w14:paraId="1CB972BD"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2</w:t>
            </w:r>
          </w:p>
        </w:tc>
        <w:tc>
          <w:tcPr>
            <w:tcW w:w="1630" w:type="dxa"/>
            <w:vMerge/>
          </w:tcPr>
          <w:p w14:paraId="11738498" w14:textId="77777777" w:rsidR="00D011F2" w:rsidRPr="00B70107" w:rsidRDefault="00D011F2" w:rsidP="0030002E">
            <w:pPr>
              <w:rPr>
                <w:rFonts w:ascii="Calibri" w:hAnsi="Calibri" w:cs="Calibri"/>
              </w:rPr>
            </w:pPr>
          </w:p>
        </w:tc>
      </w:tr>
      <w:tr w:rsidR="00D011F2" w:rsidRPr="00B70107" w14:paraId="128555D5" w14:textId="77777777" w:rsidTr="0030002E">
        <w:trPr>
          <w:jc w:val="center"/>
        </w:trPr>
        <w:tc>
          <w:tcPr>
            <w:tcW w:w="5864" w:type="dxa"/>
            <w:vMerge/>
          </w:tcPr>
          <w:p w14:paraId="35755B82" w14:textId="77777777" w:rsidR="00D011F2" w:rsidRPr="00B70107" w:rsidRDefault="00D011F2" w:rsidP="0030002E">
            <w:pPr>
              <w:rPr>
                <w:rFonts w:ascii="Calibri" w:hAnsi="Calibri" w:cs="Calibri"/>
              </w:rPr>
            </w:pPr>
          </w:p>
        </w:tc>
        <w:tc>
          <w:tcPr>
            <w:tcW w:w="3912" w:type="dxa"/>
            <w:gridSpan w:val="2"/>
          </w:tcPr>
          <w:p w14:paraId="72444BA3"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3686" w:type="dxa"/>
            <w:gridSpan w:val="2"/>
          </w:tcPr>
          <w:p w14:paraId="41169C02"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1630" w:type="dxa"/>
            <w:vMerge/>
          </w:tcPr>
          <w:p w14:paraId="1B6BD2DE" w14:textId="77777777" w:rsidR="00D011F2" w:rsidRPr="00B70107" w:rsidRDefault="00D011F2" w:rsidP="0030002E">
            <w:pPr>
              <w:rPr>
                <w:rFonts w:ascii="Calibri" w:hAnsi="Calibri" w:cs="Calibri"/>
              </w:rPr>
            </w:pPr>
          </w:p>
        </w:tc>
      </w:tr>
      <w:tr w:rsidR="00D011F2" w:rsidRPr="00B70107" w14:paraId="2E7276DB" w14:textId="77777777" w:rsidTr="0030002E">
        <w:trPr>
          <w:jc w:val="center"/>
        </w:trPr>
        <w:tc>
          <w:tcPr>
            <w:tcW w:w="5864" w:type="dxa"/>
            <w:vMerge w:val="restart"/>
          </w:tcPr>
          <w:p w14:paraId="203A9549" w14:textId="77777777" w:rsidR="00D011F2" w:rsidRPr="00B70107" w:rsidRDefault="00D011F2" w:rsidP="0030002E">
            <w:pPr>
              <w:rPr>
                <w:rFonts w:ascii="Calibri" w:hAnsi="Calibri" w:cs="Calibri"/>
                <w:b/>
                <w:bCs/>
              </w:rPr>
            </w:pPr>
            <w:r w:rsidRPr="00B70107">
              <w:rPr>
                <w:rFonts w:ascii="Calibri" w:hAnsi="Calibri" w:cs="Calibri"/>
                <w:b/>
                <w:bCs/>
              </w:rPr>
              <w:t>Monitoring and Evaluation Plan</w:t>
            </w:r>
          </w:p>
          <w:p w14:paraId="027DE13F" w14:textId="77777777" w:rsidR="00D011F2" w:rsidRPr="00B70107" w:rsidRDefault="00D011F2" w:rsidP="0030002E">
            <w:pPr>
              <w:rPr>
                <w:rFonts w:ascii="Calibri" w:hAnsi="Calibri" w:cs="Calibri"/>
              </w:rPr>
            </w:pPr>
          </w:p>
          <w:p w14:paraId="3236EB8E" w14:textId="77777777" w:rsidR="00D011F2" w:rsidRPr="00B70107" w:rsidRDefault="00D011F2" w:rsidP="0030002E">
            <w:pPr>
              <w:rPr>
                <w:rFonts w:ascii="Calibri" w:hAnsi="Calibri" w:cs="Calibri"/>
              </w:rPr>
            </w:pPr>
            <w:r w:rsidRPr="00B70107">
              <w:rPr>
                <w:rFonts w:ascii="Calibri" w:hAnsi="Calibri" w:cs="Calibri"/>
              </w:rPr>
              <w:t>Explicit reference to monitoring and evaluation of progress and impact of the policy</w:t>
            </w:r>
          </w:p>
        </w:tc>
        <w:tc>
          <w:tcPr>
            <w:tcW w:w="3912" w:type="dxa"/>
            <w:gridSpan w:val="2"/>
          </w:tcPr>
          <w:p w14:paraId="7FF76CDE" w14:textId="77777777" w:rsidR="00D011F2" w:rsidRPr="00B70107" w:rsidRDefault="00D011F2" w:rsidP="0030002E">
            <w:pPr>
              <w:pStyle w:val="NormalWeb"/>
              <w:shd w:val="clear" w:color="auto" w:fill="FFFFFF"/>
              <w:jc w:val="center"/>
              <w:rPr>
                <w:rFonts w:ascii="Calibri" w:hAnsi="Calibri" w:cs="Calibri"/>
                <w:sz w:val="22"/>
                <w:szCs w:val="22"/>
              </w:rPr>
            </w:pPr>
            <w:r w:rsidRPr="00B70107">
              <w:rPr>
                <w:rFonts w:ascii="Calibri" w:hAnsi="Calibri" w:cs="Calibri"/>
                <w:b/>
                <w:bCs/>
                <w:sz w:val="22"/>
                <w:szCs w:val="22"/>
              </w:rPr>
              <w:t>Proportion (%) of Included Policies with Identified Systems for Monitoring &amp; Evaluation</w:t>
            </w:r>
          </w:p>
        </w:tc>
        <w:tc>
          <w:tcPr>
            <w:tcW w:w="3686" w:type="dxa"/>
            <w:gridSpan w:val="2"/>
          </w:tcPr>
          <w:p w14:paraId="52188007" w14:textId="77777777" w:rsidR="00D011F2" w:rsidRPr="00B70107" w:rsidRDefault="00D011F2" w:rsidP="0030002E">
            <w:pPr>
              <w:jc w:val="center"/>
              <w:rPr>
                <w:rFonts w:ascii="Calibri" w:hAnsi="Calibri" w:cs="Calibri"/>
              </w:rPr>
            </w:pPr>
            <w:r w:rsidRPr="00B70107">
              <w:rPr>
                <w:rFonts w:ascii="Calibri" w:hAnsi="Calibri" w:cs="Calibri"/>
                <w:b/>
                <w:bCs/>
              </w:rPr>
              <w:t>Score</w:t>
            </w:r>
          </w:p>
        </w:tc>
        <w:tc>
          <w:tcPr>
            <w:tcW w:w="1630" w:type="dxa"/>
            <w:vMerge w:val="restart"/>
          </w:tcPr>
          <w:p w14:paraId="10F45E4B" w14:textId="77777777" w:rsidR="00D011F2" w:rsidRPr="00B70107" w:rsidRDefault="00D011F2" w:rsidP="0030002E">
            <w:pPr>
              <w:rPr>
                <w:rFonts w:ascii="Calibri" w:hAnsi="Calibri" w:cs="Calibri"/>
              </w:rPr>
            </w:pPr>
          </w:p>
          <w:p w14:paraId="5CB89DA0" w14:textId="77777777" w:rsidR="00D011F2" w:rsidRPr="00B70107" w:rsidRDefault="00D011F2" w:rsidP="0030002E">
            <w:pPr>
              <w:jc w:val="center"/>
              <w:rPr>
                <w:rFonts w:ascii="Calibri" w:hAnsi="Calibri" w:cs="Calibri"/>
              </w:rPr>
            </w:pPr>
          </w:p>
          <w:p w14:paraId="3183F59E" w14:textId="12CC6379" w:rsidR="00D011F2" w:rsidRPr="00B70107" w:rsidRDefault="00BD0171" w:rsidP="0030002E">
            <w:pPr>
              <w:jc w:val="center"/>
              <w:rPr>
                <w:rFonts w:ascii="Calibri" w:hAnsi="Calibri" w:cs="Calibri"/>
              </w:rPr>
            </w:pPr>
            <w:r w:rsidRPr="00B70107">
              <w:rPr>
                <w:rFonts w:ascii="Calibri" w:hAnsi="Calibri" w:cs="Calibri"/>
              </w:rPr>
              <w:t>2.5</w:t>
            </w:r>
          </w:p>
        </w:tc>
      </w:tr>
      <w:tr w:rsidR="00D011F2" w:rsidRPr="00B70107" w14:paraId="6180A912" w14:textId="77777777" w:rsidTr="0030002E">
        <w:trPr>
          <w:jc w:val="center"/>
        </w:trPr>
        <w:tc>
          <w:tcPr>
            <w:tcW w:w="5864" w:type="dxa"/>
            <w:vMerge/>
          </w:tcPr>
          <w:p w14:paraId="78467BD5" w14:textId="77777777" w:rsidR="00D011F2" w:rsidRPr="00B70107" w:rsidRDefault="00D011F2" w:rsidP="0030002E">
            <w:pPr>
              <w:rPr>
                <w:rFonts w:ascii="Calibri" w:hAnsi="Calibri" w:cs="Calibri"/>
              </w:rPr>
            </w:pPr>
          </w:p>
        </w:tc>
        <w:tc>
          <w:tcPr>
            <w:tcW w:w="3912" w:type="dxa"/>
            <w:gridSpan w:val="2"/>
          </w:tcPr>
          <w:p w14:paraId="43099722" w14:textId="77777777" w:rsidR="00D011F2" w:rsidRPr="00B70107" w:rsidRDefault="00D011F2" w:rsidP="0030002E">
            <w:pPr>
              <w:jc w:val="center"/>
              <w:rPr>
                <w:rFonts w:ascii="Calibri" w:hAnsi="Calibri" w:cs="Calibri"/>
              </w:rPr>
            </w:pPr>
            <w:r w:rsidRPr="00B70107">
              <w:rPr>
                <w:rFonts w:ascii="Calibri" w:hAnsi="Calibri" w:cs="Calibri"/>
              </w:rPr>
              <w:t>100%</w:t>
            </w:r>
          </w:p>
        </w:tc>
        <w:tc>
          <w:tcPr>
            <w:tcW w:w="3686" w:type="dxa"/>
            <w:gridSpan w:val="2"/>
          </w:tcPr>
          <w:p w14:paraId="61F7DDD3" w14:textId="77777777" w:rsidR="00D011F2" w:rsidRPr="00B70107" w:rsidRDefault="00D011F2" w:rsidP="0030002E">
            <w:pPr>
              <w:jc w:val="center"/>
              <w:rPr>
                <w:rFonts w:ascii="Calibri" w:hAnsi="Calibri" w:cs="Calibri"/>
              </w:rPr>
            </w:pPr>
            <w:r w:rsidRPr="00B70107">
              <w:rPr>
                <w:rFonts w:ascii="Calibri" w:hAnsi="Calibri" w:cs="Calibri"/>
              </w:rPr>
              <w:t>10</w:t>
            </w:r>
          </w:p>
        </w:tc>
        <w:tc>
          <w:tcPr>
            <w:tcW w:w="1630" w:type="dxa"/>
            <w:vMerge/>
          </w:tcPr>
          <w:p w14:paraId="7D05C5C2" w14:textId="77777777" w:rsidR="00D011F2" w:rsidRPr="00B70107" w:rsidRDefault="00D011F2" w:rsidP="0030002E">
            <w:pPr>
              <w:rPr>
                <w:rFonts w:ascii="Calibri" w:hAnsi="Calibri" w:cs="Calibri"/>
              </w:rPr>
            </w:pPr>
          </w:p>
        </w:tc>
      </w:tr>
      <w:tr w:rsidR="00D011F2" w:rsidRPr="00B70107" w14:paraId="6B4EEDB9" w14:textId="77777777" w:rsidTr="0030002E">
        <w:trPr>
          <w:jc w:val="center"/>
        </w:trPr>
        <w:tc>
          <w:tcPr>
            <w:tcW w:w="5864" w:type="dxa"/>
            <w:vMerge/>
          </w:tcPr>
          <w:p w14:paraId="1FE312A6" w14:textId="77777777" w:rsidR="00D011F2" w:rsidRPr="00B70107" w:rsidRDefault="00D011F2" w:rsidP="0030002E">
            <w:pPr>
              <w:rPr>
                <w:rFonts w:ascii="Calibri" w:hAnsi="Calibri" w:cs="Calibri"/>
              </w:rPr>
            </w:pPr>
          </w:p>
        </w:tc>
        <w:tc>
          <w:tcPr>
            <w:tcW w:w="3912" w:type="dxa"/>
            <w:gridSpan w:val="2"/>
          </w:tcPr>
          <w:p w14:paraId="654F2E7D" w14:textId="77777777" w:rsidR="00D011F2" w:rsidRPr="00B70107" w:rsidRDefault="00D011F2" w:rsidP="0030002E">
            <w:pPr>
              <w:jc w:val="center"/>
              <w:rPr>
                <w:rFonts w:ascii="Calibri" w:hAnsi="Calibri" w:cs="Calibri"/>
              </w:rPr>
            </w:pPr>
            <w:r w:rsidRPr="00B70107">
              <w:rPr>
                <w:rFonts w:ascii="Calibri" w:hAnsi="Calibri" w:cs="Calibri"/>
              </w:rPr>
              <w:t>75%</w:t>
            </w:r>
          </w:p>
        </w:tc>
        <w:tc>
          <w:tcPr>
            <w:tcW w:w="3686" w:type="dxa"/>
            <w:gridSpan w:val="2"/>
          </w:tcPr>
          <w:p w14:paraId="29B7567D" w14:textId="77777777" w:rsidR="00D011F2" w:rsidRPr="00B70107" w:rsidRDefault="00D011F2" w:rsidP="0030002E">
            <w:pPr>
              <w:jc w:val="center"/>
              <w:rPr>
                <w:rFonts w:ascii="Calibri" w:hAnsi="Calibri" w:cs="Calibri"/>
              </w:rPr>
            </w:pPr>
            <w:r w:rsidRPr="00B70107">
              <w:rPr>
                <w:rFonts w:ascii="Calibri" w:hAnsi="Calibri" w:cs="Calibri"/>
              </w:rPr>
              <w:t>7.5</w:t>
            </w:r>
          </w:p>
        </w:tc>
        <w:tc>
          <w:tcPr>
            <w:tcW w:w="1630" w:type="dxa"/>
            <w:vMerge/>
          </w:tcPr>
          <w:p w14:paraId="797DD485" w14:textId="77777777" w:rsidR="00D011F2" w:rsidRPr="00B70107" w:rsidRDefault="00D011F2" w:rsidP="0030002E">
            <w:pPr>
              <w:rPr>
                <w:rFonts w:ascii="Calibri" w:hAnsi="Calibri" w:cs="Calibri"/>
              </w:rPr>
            </w:pPr>
          </w:p>
        </w:tc>
      </w:tr>
      <w:tr w:rsidR="00D011F2" w:rsidRPr="00B70107" w14:paraId="3B4E93B2" w14:textId="77777777" w:rsidTr="0030002E">
        <w:trPr>
          <w:jc w:val="center"/>
        </w:trPr>
        <w:tc>
          <w:tcPr>
            <w:tcW w:w="5864" w:type="dxa"/>
            <w:vMerge/>
          </w:tcPr>
          <w:p w14:paraId="4E02B257" w14:textId="77777777" w:rsidR="00D011F2" w:rsidRPr="00B70107" w:rsidRDefault="00D011F2" w:rsidP="0030002E">
            <w:pPr>
              <w:rPr>
                <w:rFonts w:ascii="Calibri" w:hAnsi="Calibri" w:cs="Calibri"/>
              </w:rPr>
            </w:pPr>
          </w:p>
        </w:tc>
        <w:tc>
          <w:tcPr>
            <w:tcW w:w="3912" w:type="dxa"/>
            <w:gridSpan w:val="2"/>
          </w:tcPr>
          <w:p w14:paraId="58808F3E" w14:textId="77777777" w:rsidR="00D011F2" w:rsidRPr="00B70107" w:rsidRDefault="00D011F2" w:rsidP="0030002E">
            <w:pPr>
              <w:jc w:val="center"/>
              <w:rPr>
                <w:rFonts w:ascii="Calibri" w:hAnsi="Calibri" w:cs="Calibri"/>
              </w:rPr>
            </w:pPr>
            <w:r w:rsidRPr="00B70107">
              <w:rPr>
                <w:rFonts w:ascii="Calibri" w:hAnsi="Calibri" w:cs="Calibri"/>
              </w:rPr>
              <w:t>50%</w:t>
            </w:r>
          </w:p>
        </w:tc>
        <w:tc>
          <w:tcPr>
            <w:tcW w:w="3686" w:type="dxa"/>
            <w:gridSpan w:val="2"/>
          </w:tcPr>
          <w:p w14:paraId="57041CFB" w14:textId="77777777" w:rsidR="00D011F2" w:rsidRPr="00B70107" w:rsidRDefault="00D011F2" w:rsidP="0030002E">
            <w:pPr>
              <w:jc w:val="center"/>
              <w:rPr>
                <w:rFonts w:ascii="Calibri" w:hAnsi="Calibri" w:cs="Calibri"/>
              </w:rPr>
            </w:pPr>
            <w:r w:rsidRPr="00B70107">
              <w:rPr>
                <w:rFonts w:ascii="Calibri" w:hAnsi="Calibri" w:cs="Calibri"/>
              </w:rPr>
              <w:t>5</w:t>
            </w:r>
          </w:p>
        </w:tc>
        <w:tc>
          <w:tcPr>
            <w:tcW w:w="1630" w:type="dxa"/>
            <w:vMerge/>
          </w:tcPr>
          <w:p w14:paraId="53D8B2C2" w14:textId="77777777" w:rsidR="00D011F2" w:rsidRPr="00B70107" w:rsidRDefault="00D011F2" w:rsidP="0030002E">
            <w:pPr>
              <w:rPr>
                <w:rFonts w:ascii="Calibri" w:hAnsi="Calibri" w:cs="Calibri"/>
              </w:rPr>
            </w:pPr>
          </w:p>
        </w:tc>
      </w:tr>
      <w:tr w:rsidR="00D011F2" w:rsidRPr="00B70107" w14:paraId="51937444" w14:textId="77777777" w:rsidTr="0030002E">
        <w:trPr>
          <w:jc w:val="center"/>
        </w:trPr>
        <w:tc>
          <w:tcPr>
            <w:tcW w:w="5864" w:type="dxa"/>
            <w:vMerge/>
          </w:tcPr>
          <w:p w14:paraId="5084D7A0" w14:textId="77777777" w:rsidR="00D011F2" w:rsidRPr="00B70107" w:rsidRDefault="00D011F2" w:rsidP="0030002E">
            <w:pPr>
              <w:rPr>
                <w:rFonts w:ascii="Calibri" w:hAnsi="Calibri" w:cs="Calibri"/>
              </w:rPr>
            </w:pPr>
          </w:p>
        </w:tc>
        <w:tc>
          <w:tcPr>
            <w:tcW w:w="3912" w:type="dxa"/>
            <w:gridSpan w:val="2"/>
          </w:tcPr>
          <w:p w14:paraId="1350E54D"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25%</w:t>
            </w:r>
          </w:p>
        </w:tc>
        <w:tc>
          <w:tcPr>
            <w:tcW w:w="3686" w:type="dxa"/>
            <w:gridSpan w:val="2"/>
          </w:tcPr>
          <w:p w14:paraId="21797C16" w14:textId="77777777" w:rsidR="00D011F2" w:rsidRPr="00B70107" w:rsidRDefault="00D011F2" w:rsidP="0030002E">
            <w:pPr>
              <w:jc w:val="center"/>
              <w:rPr>
                <w:rFonts w:ascii="Calibri" w:hAnsi="Calibri" w:cs="Calibri"/>
                <w:b/>
                <w:bCs/>
                <w:u w:val="single"/>
              </w:rPr>
            </w:pPr>
            <w:r w:rsidRPr="00B70107">
              <w:rPr>
                <w:rFonts w:ascii="Calibri" w:hAnsi="Calibri" w:cs="Calibri"/>
                <w:b/>
                <w:bCs/>
                <w:u w:val="single"/>
              </w:rPr>
              <w:t>2.5</w:t>
            </w:r>
          </w:p>
        </w:tc>
        <w:tc>
          <w:tcPr>
            <w:tcW w:w="1630" w:type="dxa"/>
            <w:vMerge/>
          </w:tcPr>
          <w:p w14:paraId="4C9A2BE9" w14:textId="77777777" w:rsidR="00D011F2" w:rsidRPr="00B70107" w:rsidRDefault="00D011F2" w:rsidP="0030002E">
            <w:pPr>
              <w:rPr>
                <w:rFonts w:ascii="Calibri" w:hAnsi="Calibri" w:cs="Calibri"/>
              </w:rPr>
            </w:pPr>
          </w:p>
        </w:tc>
      </w:tr>
      <w:tr w:rsidR="00D011F2" w:rsidRPr="00B70107" w14:paraId="13A0A9D9" w14:textId="77777777" w:rsidTr="0030002E">
        <w:trPr>
          <w:jc w:val="center"/>
        </w:trPr>
        <w:tc>
          <w:tcPr>
            <w:tcW w:w="5864" w:type="dxa"/>
            <w:vMerge/>
          </w:tcPr>
          <w:p w14:paraId="20E040C0" w14:textId="77777777" w:rsidR="00D011F2" w:rsidRPr="00B70107" w:rsidRDefault="00D011F2" w:rsidP="0030002E">
            <w:pPr>
              <w:rPr>
                <w:rFonts w:ascii="Calibri" w:hAnsi="Calibri" w:cs="Calibri"/>
              </w:rPr>
            </w:pPr>
          </w:p>
        </w:tc>
        <w:tc>
          <w:tcPr>
            <w:tcW w:w="3912" w:type="dxa"/>
            <w:gridSpan w:val="2"/>
          </w:tcPr>
          <w:p w14:paraId="5620DCBE" w14:textId="77777777" w:rsidR="00D011F2" w:rsidRPr="00B70107" w:rsidRDefault="00D011F2" w:rsidP="0030002E">
            <w:pPr>
              <w:jc w:val="center"/>
              <w:rPr>
                <w:rFonts w:ascii="Calibri" w:hAnsi="Calibri" w:cs="Calibri"/>
              </w:rPr>
            </w:pPr>
            <w:r w:rsidRPr="00B70107">
              <w:rPr>
                <w:rFonts w:ascii="Calibri" w:hAnsi="Calibri" w:cs="Calibri"/>
              </w:rPr>
              <w:t>10%</w:t>
            </w:r>
          </w:p>
        </w:tc>
        <w:tc>
          <w:tcPr>
            <w:tcW w:w="3686" w:type="dxa"/>
            <w:gridSpan w:val="2"/>
          </w:tcPr>
          <w:p w14:paraId="45C13A71" w14:textId="77777777" w:rsidR="00D011F2" w:rsidRPr="00B70107" w:rsidRDefault="00D011F2" w:rsidP="0030002E">
            <w:pPr>
              <w:jc w:val="center"/>
              <w:rPr>
                <w:rFonts w:ascii="Calibri" w:hAnsi="Calibri" w:cs="Calibri"/>
              </w:rPr>
            </w:pPr>
            <w:r w:rsidRPr="00B70107">
              <w:rPr>
                <w:rFonts w:ascii="Calibri" w:hAnsi="Calibri" w:cs="Calibri"/>
              </w:rPr>
              <w:t>1</w:t>
            </w:r>
          </w:p>
        </w:tc>
        <w:tc>
          <w:tcPr>
            <w:tcW w:w="1630" w:type="dxa"/>
            <w:vMerge/>
          </w:tcPr>
          <w:p w14:paraId="20EBDD97" w14:textId="77777777" w:rsidR="00D011F2" w:rsidRPr="00B70107" w:rsidRDefault="00D011F2" w:rsidP="0030002E">
            <w:pPr>
              <w:rPr>
                <w:rFonts w:ascii="Calibri" w:hAnsi="Calibri" w:cs="Calibri"/>
              </w:rPr>
            </w:pPr>
          </w:p>
        </w:tc>
      </w:tr>
      <w:tr w:rsidR="00D011F2" w:rsidRPr="00B70107" w14:paraId="3C13AE13" w14:textId="77777777" w:rsidTr="0030002E">
        <w:trPr>
          <w:jc w:val="center"/>
        </w:trPr>
        <w:tc>
          <w:tcPr>
            <w:tcW w:w="5864" w:type="dxa"/>
            <w:vMerge/>
          </w:tcPr>
          <w:p w14:paraId="15A0A1F5" w14:textId="77777777" w:rsidR="00D011F2" w:rsidRPr="00B70107" w:rsidRDefault="00D011F2" w:rsidP="0030002E">
            <w:pPr>
              <w:rPr>
                <w:rFonts w:ascii="Calibri" w:hAnsi="Calibri" w:cs="Calibri"/>
              </w:rPr>
            </w:pPr>
          </w:p>
        </w:tc>
        <w:tc>
          <w:tcPr>
            <w:tcW w:w="3912" w:type="dxa"/>
            <w:gridSpan w:val="2"/>
          </w:tcPr>
          <w:p w14:paraId="4E71E95A"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3686" w:type="dxa"/>
            <w:gridSpan w:val="2"/>
          </w:tcPr>
          <w:p w14:paraId="03120820" w14:textId="77777777" w:rsidR="00D011F2" w:rsidRPr="00B70107" w:rsidRDefault="00D011F2" w:rsidP="0030002E">
            <w:pPr>
              <w:jc w:val="center"/>
              <w:rPr>
                <w:rFonts w:ascii="Calibri" w:hAnsi="Calibri" w:cs="Calibri"/>
              </w:rPr>
            </w:pPr>
            <w:r w:rsidRPr="00B70107">
              <w:rPr>
                <w:rFonts w:ascii="Calibri" w:hAnsi="Calibri" w:cs="Calibri"/>
              </w:rPr>
              <w:t>0</w:t>
            </w:r>
          </w:p>
        </w:tc>
        <w:tc>
          <w:tcPr>
            <w:tcW w:w="1630" w:type="dxa"/>
            <w:vMerge/>
          </w:tcPr>
          <w:p w14:paraId="65CE72B6" w14:textId="77777777" w:rsidR="00D011F2" w:rsidRPr="00B70107" w:rsidRDefault="00D011F2" w:rsidP="0030002E">
            <w:pPr>
              <w:rPr>
                <w:rFonts w:ascii="Calibri" w:hAnsi="Calibri" w:cs="Calibri"/>
              </w:rPr>
            </w:pPr>
          </w:p>
        </w:tc>
      </w:tr>
    </w:tbl>
    <w:p w14:paraId="5A09E658" w14:textId="77777777" w:rsidR="00D011F2" w:rsidRPr="00B70107" w:rsidRDefault="00D011F2" w:rsidP="00D011F2">
      <w:pPr>
        <w:rPr>
          <w:rFonts w:ascii="Calibri" w:hAnsi="Calibri" w:cs="Calibri"/>
        </w:rPr>
      </w:pPr>
    </w:p>
    <w:p w14:paraId="4F06F36B" w14:textId="59F2738C" w:rsidR="003A5BDC" w:rsidRPr="00B70107" w:rsidRDefault="003A5BDC" w:rsidP="003A5BDC">
      <w:pPr>
        <w:rPr>
          <w:rFonts w:eastAsia="Times New Roman" w:cs="Times New Roman"/>
          <w:b/>
          <w:bCs/>
          <w:kern w:val="36"/>
          <w:sz w:val="28"/>
          <w:szCs w:val="28"/>
          <w:lang w:eastAsia="en-GB"/>
        </w:rPr>
      </w:pPr>
      <w:r w:rsidRPr="00B70107">
        <w:rPr>
          <w:rFonts w:eastAsia="Times New Roman" w:cs="Times New Roman"/>
          <w:b/>
          <w:bCs/>
          <w:kern w:val="36"/>
          <w:sz w:val="28"/>
          <w:szCs w:val="28"/>
          <w:lang w:eastAsia="en-GB"/>
        </w:rPr>
        <w:t>Table 7.</w:t>
      </w:r>
      <w:r w:rsidR="00BD0171" w:rsidRPr="00B70107">
        <w:rPr>
          <w:rFonts w:eastAsia="Times New Roman" w:cs="Times New Roman"/>
          <w:b/>
          <w:bCs/>
          <w:kern w:val="36"/>
          <w:sz w:val="28"/>
          <w:szCs w:val="28"/>
          <w:lang w:eastAsia="en-GB"/>
        </w:rPr>
        <w:t>2</w:t>
      </w:r>
      <w:r w:rsidRPr="00B70107">
        <w:rPr>
          <w:rFonts w:eastAsia="Times New Roman" w:cs="Times New Roman"/>
          <w:b/>
          <w:bCs/>
          <w:kern w:val="36"/>
          <w:sz w:val="28"/>
          <w:szCs w:val="28"/>
          <w:lang w:eastAsia="en-GB"/>
        </w:rPr>
        <w:t xml:space="preserve"> </w:t>
      </w:r>
      <w:r w:rsidR="00BD0171" w:rsidRPr="00B70107">
        <w:rPr>
          <w:rFonts w:eastAsia="Times New Roman" w:cs="Times New Roman"/>
          <w:b/>
          <w:bCs/>
          <w:kern w:val="36"/>
          <w:sz w:val="28"/>
          <w:szCs w:val="28"/>
          <w:lang w:eastAsia="en-GB"/>
        </w:rPr>
        <w:t>Descriptive s</w:t>
      </w:r>
      <w:r w:rsidRPr="00B70107">
        <w:rPr>
          <w:rFonts w:eastAsia="Times New Roman" w:cs="Times New Roman"/>
          <w:b/>
          <w:bCs/>
          <w:kern w:val="36"/>
          <w:sz w:val="28"/>
          <w:szCs w:val="28"/>
          <w:lang w:eastAsia="en-GB"/>
        </w:rPr>
        <w:t xml:space="preserve">coring </w:t>
      </w:r>
      <w:r w:rsidR="00BD0171" w:rsidRPr="00B70107">
        <w:rPr>
          <w:rFonts w:eastAsia="Times New Roman" w:cs="Times New Roman"/>
          <w:b/>
          <w:bCs/>
          <w:kern w:val="36"/>
          <w:sz w:val="28"/>
          <w:szCs w:val="28"/>
          <w:lang w:eastAsia="en-GB"/>
        </w:rPr>
        <w:t xml:space="preserve">grid </w:t>
      </w:r>
      <w:r w:rsidRPr="00B70107">
        <w:rPr>
          <w:rFonts w:eastAsia="Times New Roman" w:cs="Times New Roman"/>
          <w:b/>
          <w:bCs/>
          <w:kern w:val="36"/>
          <w:sz w:val="28"/>
          <w:szCs w:val="28"/>
          <w:lang w:eastAsia="en-GB"/>
        </w:rPr>
        <w:t>for the Government Indicator (physical activity only</w:t>
      </w:r>
      <w:r w:rsidR="00BD0171" w:rsidRPr="00B70107">
        <w:rPr>
          <w:rFonts w:eastAsia="Times New Roman" w:cs="Times New Roman"/>
          <w:b/>
          <w:bCs/>
          <w:kern w:val="36"/>
          <w:sz w:val="28"/>
          <w:szCs w:val="28"/>
          <w:lang w:eastAsia="en-GB"/>
        </w:rPr>
        <w:t>; links to Table 7.1</w:t>
      </w:r>
      <w:r w:rsidRPr="00B70107">
        <w:rPr>
          <w:rFonts w:eastAsia="Times New Roman" w:cs="Times New Roman"/>
          <w:b/>
          <w:bCs/>
          <w:kern w:val="36"/>
          <w:sz w:val="28"/>
          <w:szCs w:val="28"/>
          <w:lang w:eastAsia="en-GB"/>
        </w:rPr>
        <w:t>)</w:t>
      </w:r>
    </w:p>
    <w:tbl>
      <w:tblPr>
        <w:tblStyle w:val="TableGrid"/>
        <w:tblW w:w="13887" w:type="dxa"/>
        <w:tblLook w:val="04A0" w:firstRow="1" w:lastRow="0" w:firstColumn="1" w:lastColumn="0" w:noHBand="0" w:noVBand="1"/>
      </w:tblPr>
      <w:tblGrid>
        <w:gridCol w:w="2547"/>
        <w:gridCol w:w="9497"/>
        <w:gridCol w:w="1843"/>
      </w:tblGrid>
      <w:tr w:rsidR="00BD0171" w:rsidRPr="00B70107" w14:paraId="28A0B4A1" w14:textId="77777777" w:rsidTr="008477B8">
        <w:tc>
          <w:tcPr>
            <w:tcW w:w="2547" w:type="dxa"/>
          </w:tcPr>
          <w:p w14:paraId="05114288" w14:textId="77777777" w:rsidR="00BD0171" w:rsidRPr="00B70107" w:rsidRDefault="00BD0171" w:rsidP="00927DB3">
            <w:pPr>
              <w:rPr>
                <w:rFonts w:ascii="Calibri" w:hAnsi="Calibri" w:cs="Calibri"/>
                <w:b/>
                <w:bCs/>
              </w:rPr>
            </w:pPr>
            <w:r w:rsidRPr="00B70107">
              <w:rPr>
                <w:rFonts w:ascii="Calibri" w:hAnsi="Calibri" w:cs="Calibri"/>
                <w:b/>
                <w:bCs/>
              </w:rPr>
              <w:t>Criterion</w:t>
            </w:r>
          </w:p>
        </w:tc>
        <w:tc>
          <w:tcPr>
            <w:tcW w:w="9497" w:type="dxa"/>
          </w:tcPr>
          <w:p w14:paraId="0231FF9A" w14:textId="0546B2EC" w:rsidR="00BD0171" w:rsidRPr="00B70107" w:rsidRDefault="00BD0171" w:rsidP="00927DB3">
            <w:pPr>
              <w:rPr>
                <w:rFonts w:ascii="Calibri" w:hAnsi="Calibri" w:cs="Calibri"/>
                <w:b/>
                <w:bCs/>
              </w:rPr>
            </w:pPr>
            <w:r w:rsidRPr="00B70107">
              <w:rPr>
                <w:rFonts w:ascii="Calibri" w:hAnsi="Calibri" w:cs="Calibri"/>
                <w:b/>
                <w:bCs/>
              </w:rPr>
              <w:t>Narrative/explanation</w:t>
            </w:r>
          </w:p>
        </w:tc>
        <w:tc>
          <w:tcPr>
            <w:tcW w:w="1843" w:type="dxa"/>
          </w:tcPr>
          <w:p w14:paraId="53276028" w14:textId="77777777" w:rsidR="00BD0171" w:rsidRPr="00B70107" w:rsidRDefault="00BD0171" w:rsidP="00927DB3">
            <w:pPr>
              <w:rPr>
                <w:rFonts w:ascii="Calibri" w:hAnsi="Calibri" w:cs="Calibri"/>
                <w:b/>
                <w:bCs/>
              </w:rPr>
            </w:pPr>
            <w:r w:rsidRPr="00B70107">
              <w:rPr>
                <w:rFonts w:ascii="Calibri" w:hAnsi="Calibri" w:cs="Calibri"/>
                <w:b/>
                <w:bCs/>
              </w:rPr>
              <w:t>Score</w:t>
            </w:r>
          </w:p>
        </w:tc>
      </w:tr>
      <w:tr w:rsidR="00BD0171" w:rsidRPr="00B70107" w14:paraId="40079DEA" w14:textId="77777777" w:rsidTr="008477B8">
        <w:tc>
          <w:tcPr>
            <w:tcW w:w="2547" w:type="dxa"/>
          </w:tcPr>
          <w:p w14:paraId="383E43A7" w14:textId="77777777" w:rsidR="00BD0171" w:rsidRPr="00B70107" w:rsidRDefault="00BD0171" w:rsidP="00927DB3">
            <w:pPr>
              <w:rPr>
                <w:rFonts w:ascii="Calibri" w:hAnsi="Calibri" w:cs="Calibri"/>
                <w:b/>
                <w:bCs/>
              </w:rPr>
            </w:pPr>
            <w:r w:rsidRPr="00B70107">
              <w:rPr>
                <w:rFonts w:ascii="Calibri" w:hAnsi="Calibri" w:cs="Calibri"/>
                <w:b/>
                <w:bCs/>
              </w:rPr>
              <w:t>Number and Breadth of Relevant Policies</w:t>
            </w:r>
          </w:p>
          <w:p w14:paraId="47B63C3A" w14:textId="77777777" w:rsidR="00BD0171" w:rsidRPr="00B70107" w:rsidRDefault="00BD0171" w:rsidP="00927DB3">
            <w:pPr>
              <w:rPr>
                <w:rFonts w:ascii="Calibri" w:hAnsi="Calibri" w:cs="Calibri"/>
                <w:b/>
                <w:bCs/>
                <w:i/>
                <w:iCs/>
                <w:u w:val="single"/>
              </w:rPr>
            </w:pPr>
            <w:r w:rsidRPr="00B70107">
              <w:rPr>
                <w:rFonts w:ascii="Calibri" w:hAnsi="Calibri" w:cs="Calibri"/>
                <w:i/>
                <w:iCs/>
              </w:rPr>
              <w:t>Policies/ strategies/ action plans that reference physical activity.</w:t>
            </w:r>
          </w:p>
        </w:tc>
        <w:tc>
          <w:tcPr>
            <w:tcW w:w="9497" w:type="dxa"/>
          </w:tcPr>
          <w:p w14:paraId="35315FC0" w14:textId="609E8353" w:rsidR="00BD0171" w:rsidRPr="00B70107" w:rsidRDefault="001775A4" w:rsidP="00927DB3">
            <w:pPr>
              <w:rPr>
                <w:rFonts w:ascii="Calibri" w:hAnsi="Calibri" w:cs="Calibri"/>
              </w:rPr>
            </w:pPr>
            <w:r w:rsidRPr="00B70107">
              <w:rPr>
                <w:rFonts w:ascii="Calibri" w:hAnsi="Calibri" w:cs="Calibri"/>
              </w:rPr>
              <w:t>In Scotland, there are eighteen national policies/strategies/action plans/guidelines that mention and/or promote physical activity in children. These policy documents are represented in a variety of directorates within the Scottish Government</w:t>
            </w:r>
            <w:r w:rsidR="008477B8" w:rsidRPr="00B70107">
              <w:rPr>
                <w:rFonts w:ascii="Calibri" w:hAnsi="Calibri" w:cs="Calibri"/>
              </w:rPr>
              <w:t xml:space="preserve"> (14 out of 43)</w:t>
            </w:r>
            <w:r w:rsidRPr="00B70107">
              <w:rPr>
                <w:rFonts w:ascii="Calibri" w:hAnsi="Calibri" w:cs="Calibri"/>
              </w:rPr>
              <w:t xml:space="preserve">, namely: Energy and Climate Change Directorate, Agriculture and Rural Delivery Directorate, Economic Development Directorate, Environment and Forestry Directorate, Fair Work, Employability and Skills Directorate, Housing and Social Justice Directorate, Scottish National Investment Bank Directorate, Community Health and Social Care Directorate, Children and Families Directorate, Early Learning and Childcare Programme Directorate, Population Health Directorate, Learning Directorate, Constitution and Cabinet Directorate, Performance and Strategic Outcomes Directorate. </w:t>
            </w:r>
          </w:p>
        </w:tc>
        <w:tc>
          <w:tcPr>
            <w:tcW w:w="1843" w:type="dxa"/>
          </w:tcPr>
          <w:p w14:paraId="42332B0E" w14:textId="6A50C591" w:rsidR="00BD0171" w:rsidRPr="00B70107" w:rsidRDefault="00BD0171" w:rsidP="00927DB3">
            <w:pPr>
              <w:jc w:val="center"/>
              <w:rPr>
                <w:rFonts w:ascii="Calibri" w:hAnsi="Calibri" w:cs="Calibri"/>
                <w:u w:val="single"/>
              </w:rPr>
            </w:pPr>
            <w:r w:rsidRPr="00B70107">
              <w:rPr>
                <w:rFonts w:ascii="Calibri" w:hAnsi="Calibri" w:cs="Calibri"/>
                <w:u w:val="single"/>
              </w:rPr>
              <w:t>9</w:t>
            </w:r>
          </w:p>
        </w:tc>
      </w:tr>
      <w:tr w:rsidR="00BD0171" w:rsidRPr="00B70107" w14:paraId="3DCE5456" w14:textId="77777777" w:rsidTr="008477B8">
        <w:tc>
          <w:tcPr>
            <w:tcW w:w="2547" w:type="dxa"/>
          </w:tcPr>
          <w:p w14:paraId="7F41EE13" w14:textId="77777777" w:rsidR="00BD0171" w:rsidRPr="00B70107" w:rsidRDefault="00BD0171" w:rsidP="00927DB3">
            <w:pPr>
              <w:rPr>
                <w:rFonts w:ascii="Calibri" w:hAnsi="Calibri" w:cs="Calibri"/>
                <w:b/>
                <w:bCs/>
              </w:rPr>
            </w:pPr>
            <w:r w:rsidRPr="00B70107">
              <w:rPr>
                <w:rFonts w:ascii="Calibri" w:hAnsi="Calibri" w:cs="Calibri"/>
                <w:b/>
                <w:bCs/>
              </w:rPr>
              <w:t>Identified Supporting Actions</w:t>
            </w:r>
          </w:p>
          <w:p w14:paraId="1F574777" w14:textId="77777777" w:rsidR="00BD0171" w:rsidRPr="00B70107" w:rsidRDefault="00BD0171" w:rsidP="00927DB3">
            <w:pPr>
              <w:rPr>
                <w:rFonts w:ascii="Calibri" w:hAnsi="Calibri" w:cs="Calibri"/>
                <w:b/>
                <w:bCs/>
                <w:i/>
                <w:iCs/>
                <w:u w:val="single"/>
              </w:rPr>
            </w:pPr>
            <w:r w:rsidRPr="00B70107">
              <w:rPr>
                <w:rFonts w:ascii="Calibri" w:hAnsi="Calibri" w:cs="Calibri"/>
                <w:i/>
                <w:iCs/>
              </w:rPr>
              <w:t>Strategic documents with specific actions that promote physical activity</w:t>
            </w:r>
          </w:p>
        </w:tc>
        <w:tc>
          <w:tcPr>
            <w:tcW w:w="9497" w:type="dxa"/>
          </w:tcPr>
          <w:p w14:paraId="725D5DBE" w14:textId="510FED33" w:rsidR="00BD0171" w:rsidRPr="00B70107" w:rsidRDefault="00E6706C" w:rsidP="00927DB3">
            <w:pPr>
              <w:rPr>
                <w:rFonts w:ascii="Calibri" w:hAnsi="Calibri" w:cs="Calibri"/>
                <w:u w:val="single"/>
              </w:rPr>
            </w:pPr>
            <w:r w:rsidRPr="00B70107">
              <w:rPr>
                <w:rFonts w:ascii="Calibri" w:hAnsi="Calibri" w:cs="Calibri"/>
                <w:u w:val="single"/>
              </w:rPr>
              <w:t>Twelve of the 18 policy documents mention specific actions to promote physical activity. In some cases, the actions are for the purpose of improving/increasing physical activity, for some others physical activity is promoted to meet another goal (e.g., reduce overweight/obesity, active travel)</w:t>
            </w:r>
          </w:p>
        </w:tc>
        <w:tc>
          <w:tcPr>
            <w:tcW w:w="1843" w:type="dxa"/>
          </w:tcPr>
          <w:p w14:paraId="02E2471A" w14:textId="2C285A7F" w:rsidR="00BD0171" w:rsidRPr="00B70107" w:rsidRDefault="00BD0171" w:rsidP="00927DB3">
            <w:pPr>
              <w:jc w:val="center"/>
              <w:rPr>
                <w:rFonts w:ascii="Calibri" w:hAnsi="Calibri" w:cs="Calibri"/>
                <w:u w:val="single"/>
              </w:rPr>
            </w:pPr>
            <w:r w:rsidRPr="00B70107">
              <w:rPr>
                <w:rFonts w:ascii="Calibri" w:hAnsi="Calibri" w:cs="Calibri"/>
                <w:u w:val="single"/>
              </w:rPr>
              <w:t>1</w:t>
            </w:r>
            <w:r w:rsidR="001775A4" w:rsidRPr="00B70107">
              <w:rPr>
                <w:rFonts w:ascii="Calibri" w:hAnsi="Calibri" w:cs="Calibri"/>
                <w:u w:val="single"/>
              </w:rPr>
              <w:t>2</w:t>
            </w:r>
          </w:p>
        </w:tc>
      </w:tr>
      <w:tr w:rsidR="00BD0171" w:rsidRPr="00B70107" w14:paraId="1EA59833" w14:textId="77777777" w:rsidTr="008477B8">
        <w:tc>
          <w:tcPr>
            <w:tcW w:w="2547" w:type="dxa"/>
          </w:tcPr>
          <w:p w14:paraId="2F86414F" w14:textId="77777777" w:rsidR="00BD0171" w:rsidRPr="00B70107" w:rsidRDefault="00BD0171" w:rsidP="00927DB3">
            <w:pPr>
              <w:rPr>
                <w:rFonts w:ascii="Calibri" w:hAnsi="Calibri" w:cs="Calibri"/>
                <w:b/>
                <w:bCs/>
              </w:rPr>
            </w:pPr>
            <w:r w:rsidRPr="00B70107">
              <w:rPr>
                <w:rFonts w:ascii="Calibri" w:hAnsi="Calibri" w:cs="Calibri"/>
                <w:b/>
                <w:bCs/>
              </w:rPr>
              <w:t>Identified Accountable Organisation(s)</w:t>
            </w:r>
          </w:p>
          <w:p w14:paraId="4C844AEA" w14:textId="77777777" w:rsidR="00BD0171" w:rsidRPr="00B70107" w:rsidRDefault="00BD0171" w:rsidP="00927DB3">
            <w:pPr>
              <w:rPr>
                <w:rFonts w:ascii="Calibri" w:hAnsi="Calibri" w:cs="Calibri"/>
                <w:b/>
                <w:bCs/>
                <w:i/>
                <w:iCs/>
                <w:u w:val="single"/>
              </w:rPr>
            </w:pPr>
            <w:r w:rsidRPr="00B70107">
              <w:rPr>
                <w:rFonts w:ascii="Calibri" w:hAnsi="Calibri" w:cs="Calibri"/>
                <w:i/>
                <w:iCs/>
              </w:rPr>
              <w:t>Discreet organisations specifically identified as responsible for delivery of actions.</w:t>
            </w:r>
          </w:p>
        </w:tc>
        <w:tc>
          <w:tcPr>
            <w:tcW w:w="9497" w:type="dxa"/>
          </w:tcPr>
          <w:p w14:paraId="0A3ADD56" w14:textId="0E21CC7C" w:rsidR="00BD0171" w:rsidRPr="00B70107" w:rsidRDefault="00E6706C" w:rsidP="00927DB3">
            <w:pPr>
              <w:rPr>
                <w:rFonts w:ascii="Calibri" w:hAnsi="Calibri" w:cs="Calibri"/>
                <w:u w:val="single"/>
              </w:rPr>
            </w:pPr>
            <w:r w:rsidRPr="00B70107">
              <w:rPr>
                <w:rFonts w:ascii="Calibri" w:hAnsi="Calibri" w:cs="Calibri"/>
                <w:u w:val="single"/>
              </w:rPr>
              <w:t xml:space="preserve">Twelve of the eighteen policies mention partner organisations. These partners include, but are not limited to, Paths for All, </w:t>
            </w:r>
            <w:r w:rsidRPr="00B70107">
              <w:rPr>
                <w:rFonts w:ascii="Calibri" w:hAnsi="Calibri" w:cs="Calibri"/>
                <w:b/>
                <w:bCs/>
                <w:u w:val="single"/>
              </w:rPr>
              <w:t>sport</w:t>
            </w:r>
            <w:r w:rsidRPr="00B70107">
              <w:rPr>
                <w:rFonts w:ascii="Calibri" w:hAnsi="Calibri" w:cs="Calibri"/>
                <w:u w:val="single"/>
              </w:rPr>
              <w:t xml:space="preserve">scotland, Cycling Scotland, Sustrans, Actify, The Daily Mile. </w:t>
            </w:r>
          </w:p>
        </w:tc>
        <w:tc>
          <w:tcPr>
            <w:tcW w:w="1843" w:type="dxa"/>
          </w:tcPr>
          <w:p w14:paraId="031FAEEB" w14:textId="77777777" w:rsidR="00BD0171" w:rsidRPr="00B70107" w:rsidRDefault="00BD0171" w:rsidP="00927DB3">
            <w:pPr>
              <w:jc w:val="center"/>
              <w:rPr>
                <w:rFonts w:ascii="Calibri" w:hAnsi="Calibri" w:cs="Calibri"/>
                <w:u w:val="single"/>
              </w:rPr>
            </w:pPr>
            <w:r w:rsidRPr="00B70107">
              <w:rPr>
                <w:rFonts w:ascii="Calibri" w:hAnsi="Calibri" w:cs="Calibri"/>
                <w:u w:val="single"/>
              </w:rPr>
              <w:t>15</w:t>
            </w:r>
          </w:p>
          <w:p w14:paraId="4491B206" w14:textId="77777777" w:rsidR="00E6706C" w:rsidRPr="00B70107" w:rsidRDefault="00E6706C" w:rsidP="00927DB3">
            <w:pPr>
              <w:jc w:val="center"/>
              <w:rPr>
                <w:rFonts w:ascii="Calibri" w:hAnsi="Calibri" w:cs="Calibri"/>
                <w:u w:val="single"/>
              </w:rPr>
            </w:pPr>
          </w:p>
          <w:p w14:paraId="0F49D60E" w14:textId="172505AE" w:rsidR="00E6706C" w:rsidRPr="00B70107" w:rsidRDefault="00E6706C" w:rsidP="00927DB3">
            <w:pPr>
              <w:jc w:val="center"/>
              <w:rPr>
                <w:rFonts w:ascii="Calibri" w:hAnsi="Calibri" w:cs="Calibri"/>
                <w:u w:val="single"/>
              </w:rPr>
            </w:pPr>
            <w:r w:rsidRPr="00B70107">
              <w:rPr>
                <w:rFonts w:ascii="Calibri" w:hAnsi="Calibri" w:cs="Calibri"/>
                <w:u w:val="single"/>
              </w:rPr>
              <w:t>(12/18 = 67%)</w:t>
            </w:r>
          </w:p>
        </w:tc>
      </w:tr>
      <w:tr w:rsidR="00BD0171" w:rsidRPr="00B70107" w14:paraId="04F28D4B" w14:textId="77777777" w:rsidTr="008477B8">
        <w:tc>
          <w:tcPr>
            <w:tcW w:w="2547" w:type="dxa"/>
          </w:tcPr>
          <w:p w14:paraId="51CCB072" w14:textId="77777777" w:rsidR="00BD0171" w:rsidRPr="00B70107" w:rsidRDefault="00BD0171" w:rsidP="00927DB3">
            <w:pPr>
              <w:rPr>
                <w:rFonts w:ascii="Calibri" w:hAnsi="Calibri" w:cs="Calibri"/>
                <w:b/>
                <w:bCs/>
              </w:rPr>
            </w:pPr>
            <w:r w:rsidRPr="00B70107">
              <w:rPr>
                <w:rFonts w:ascii="Calibri" w:hAnsi="Calibri" w:cs="Calibri"/>
                <w:b/>
                <w:bCs/>
              </w:rPr>
              <w:t>Identifiable Reporting Structures</w:t>
            </w:r>
          </w:p>
          <w:p w14:paraId="3499F00A" w14:textId="77777777" w:rsidR="00BD0171" w:rsidRPr="00B70107" w:rsidRDefault="00BD0171" w:rsidP="00927DB3">
            <w:pPr>
              <w:rPr>
                <w:rFonts w:ascii="Calibri" w:hAnsi="Calibri" w:cs="Calibri"/>
                <w:b/>
                <w:bCs/>
                <w:i/>
                <w:iCs/>
              </w:rPr>
            </w:pPr>
            <w:r w:rsidRPr="00B70107">
              <w:rPr>
                <w:rFonts w:ascii="Calibri" w:hAnsi="Calibri" w:cs="Calibri"/>
                <w:i/>
                <w:iCs/>
              </w:rPr>
              <w:t>Strategic documents with explicit reporting systems including frequency and format of reports</w:t>
            </w:r>
          </w:p>
        </w:tc>
        <w:tc>
          <w:tcPr>
            <w:tcW w:w="9497" w:type="dxa"/>
          </w:tcPr>
          <w:p w14:paraId="433EDE1F" w14:textId="45877B1A" w:rsidR="00E6706C" w:rsidRPr="00B70107" w:rsidRDefault="00E6706C" w:rsidP="008477B8">
            <w:pPr>
              <w:rPr>
                <w:sz w:val="23"/>
                <w:szCs w:val="23"/>
              </w:rPr>
            </w:pPr>
            <w:r w:rsidRPr="00B70107">
              <w:rPr>
                <w:rFonts w:ascii="Calibri" w:hAnsi="Calibri" w:cs="Calibri"/>
                <w:u w:val="single"/>
              </w:rPr>
              <w:t>Seven of the 18 policies</w:t>
            </w:r>
            <w:r w:rsidRPr="00B70107">
              <w:rPr>
                <w:rFonts w:ascii="Calibri" w:hAnsi="Calibri" w:cs="Calibri"/>
                <w:b/>
                <w:bCs/>
                <w:u w:val="single"/>
              </w:rPr>
              <w:t xml:space="preserve"> </w:t>
            </w:r>
            <w:r w:rsidR="008477B8" w:rsidRPr="00B70107">
              <w:rPr>
                <w:sz w:val="23"/>
                <w:szCs w:val="23"/>
              </w:rPr>
              <w:t>identify</w:t>
            </w:r>
            <w:r w:rsidRPr="00B70107">
              <w:rPr>
                <w:sz w:val="23"/>
                <w:szCs w:val="23"/>
              </w:rPr>
              <w:t xml:space="preserve"> monitoring and reporting </w:t>
            </w:r>
            <w:r w:rsidR="008477B8" w:rsidRPr="00B70107">
              <w:rPr>
                <w:sz w:val="23"/>
                <w:szCs w:val="23"/>
              </w:rPr>
              <w:t xml:space="preserve">systems. The structure of this information is highly variable between policy documents where it exists. </w:t>
            </w:r>
          </w:p>
          <w:p w14:paraId="109A7552" w14:textId="6CCC366B" w:rsidR="00BD0171" w:rsidRPr="00B70107" w:rsidRDefault="00BD0171" w:rsidP="00927DB3">
            <w:pPr>
              <w:rPr>
                <w:rFonts w:ascii="Calibri" w:hAnsi="Calibri" w:cs="Calibri"/>
                <w:b/>
                <w:bCs/>
                <w:u w:val="single"/>
              </w:rPr>
            </w:pPr>
          </w:p>
        </w:tc>
        <w:tc>
          <w:tcPr>
            <w:tcW w:w="1843" w:type="dxa"/>
          </w:tcPr>
          <w:p w14:paraId="7021F3D3" w14:textId="77777777" w:rsidR="00BD0171" w:rsidRPr="00B70107" w:rsidRDefault="00BD0171" w:rsidP="00927DB3">
            <w:pPr>
              <w:jc w:val="center"/>
              <w:rPr>
                <w:rFonts w:ascii="Calibri" w:hAnsi="Calibri" w:cs="Calibri"/>
                <w:u w:val="single"/>
              </w:rPr>
            </w:pPr>
            <w:r w:rsidRPr="00B70107">
              <w:rPr>
                <w:rFonts w:ascii="Calibri" w:hAnsi="Calibri" w:cs="Calibri"/>
                <w:u w:val="single"/>
              </w:rPr>
              <w:t>5</w:t>
            </w:r>
          </w:p>
          <w:p w14:paraId="35DC8E18" w14:textId="77777777" w:rsidR="008477B8" w:rsidRPr="00B70107" w:rsidRDefault="008477B8" w:rsidP="00927DB3">
            <w:pPr>
              <w:jc w:val="center"/>
              <w:rPr>
                <w:rFonts w:ascii="Calibri" w:hAnsi="Calibri" w:cs="Calibri"/>
                <w:u w:val="single"/>
              </w:rPr>
            </w:pPr>
          </w:p>
          <w:p w14:paraId="10937B6C" w14:textId="4F9E867B" w:rsidR="008477B8" w:rsidRPr="00B70107" w:rsidRDefault="008477B8" w:rsidP="00927DB3">
            <w:pPr>
              <w:jc w:val="center"/>
              <w:rPr>
                <w:rFonts w:ascii="Calibri" w:hAnsi="Calibri" w:cs="Calibri"/>
                <w:u w:val="single"/>
              </w:rPr>
            </w:pPr>
            <w:r w:rsidRPr="00B70107">
              <w:rPr>
                <w:rFonts w:ascii="Calibri" w:hAnsi="Calibri" w:cs="Calibri"/>
                <w:u w:val="single"/>
              </w:rPr>
              <w:t>(7/18 = 39%)</w:t>
            </w:r>
          </w:p>
        </w:tc>
      </w:tr>
      <w:tr w:rsidR="00BD0171" w:rsidRPr="00B70107" w14:paraId="25111705" w14:textId="77777777" w:rsidTr="008477B8">
        <w:tc>
          <w:tcPr>
            <w:tcW w:w="2547" w:type="dxa"/>
          </w:tcPr>
          <w:p w14:paraId="68232C6B" w14:textId="77777777" w:rsidR="00BD0171" w:rsidRPr="00B70107" w:rsidRDefault="00BD0171" w:rsidP="00927DB3">
            <w:pPr>
              <w:rPr>
                <w:rFonts w:ascii="Calibri" w:hAnsi="Calibri" w:cs="Calibri"/>
                <w:b/>
                <w:bCs/>
              </w:rPr>
            </w:pPr>
            <w:r w:rsidRPr="00B70107">
              <w:rPr>
                <w:rFonts w:ascii="Calibri" w:hAnsi="Calibri" w:cs="Calibri"/>
                <w:b/>
                <w:bCs/>
              </w:rPr>
              <w:t>Identified Funding</w:t>
            </w:r>
          </w:p>
          <w:p w14:paraId="286BEB3A" w14:textId="77777777" w:rsidR="00BD0171" w:rsidRPr="00B70107" w:rsidRDefault="00BD0171" w:rsidP="00927DB3">
            <w:pPr>
              <w:rPr>
                <w:rFonts w:ascii="Calibri" w:hAnsi="Calibri" w:cs="Calibri"/>
                <w:b/>
                <w:bCs/>
                <w:i/>
                <w:iCs/>
              </w:rPr>
            </w:pPr>
            <w:r w:rsidRPr="00B70107">
              <w:rPr>
                <w:rFonts w:ascii="Calibri" w:hAnsi="Calibri" w:cs="Calibri"/>
                <w:i/>
                <w:iCs/>
              </w:rPr>
              <w:t>Explicit references to funding to support identified actions</w:t>
            </w:r>
          </w:p>
        </w:tc>
        <w:tc>
          <w:tcPr>
            <w:tcW w:w="9497" w:type="dxa"/>
          </w:tcPr>
          <w:p w14:paraId="4F2BC831" w14:textId="4A04AD8E" w:rsidR="00BD0171" w:rsidRPr="00B70107" w:rsidRDefault="008477B8" w:rsidP="00927DB3">
            <w:pPr>
              <w:rPr>
                <w:rFonts w:ascii="Calibri" w:hAnsi="Calibri" w:cs="Calibri"/>
                <w:u w:val="single"/>
              </w:rPr>
            </w:pPr>
            <w:r w:rsidRPr="00B70107">
              <w:rPr>
                <w:rFonts w:ascii="Calibri" w:hAnsi="Calibri" w:cs="Calibri"/>
                <w:u w:val="single"/>
              </w:rPr>
              <w:t xml:space="preserve">Three of the 18 policies mention or report funding that is </w:t>
            </w:r>
            <w:r w:rsidRPr="00B70107">
              <w:rPr>
                <w:rFonts w:ascii="Calibri" w:hAnsi="Calibri" w:cs="Calibri"/>
                <w:b/>
                <w:bCs/>
                <w:u w:val="single"/>
              </w:rPr>
              <w:t>specifically allocated</w:t>
            </w:r>
            <w:r w:rsidRPr="00B70107">
              <w:rPr>
                <w:rFonts w:ascii="Calibri" w:hAnsi="Calibri" w:cs="Calibri"/>
                <w:u w:val="single"/>
              </w:rPr>
              <w:t xml:space="preserve"> to promoting/increasing physical activity.</w:t>
            </w:r>
          </w:p>
        </w:tc>
        <w:tc>
          <w:tcPr>
            <w:tcW w:w="1843" w:type="dxa"/>
          </w:tcPr>
          <w:p w14:paraId="01B65065" w14:textId="77777777" w:rsidR="00BD0171" w:rsidRPr="00B70107" w:rsidRDefault="00BD0171" w:rsidP="00927DB3">
            <w:pPr>
              <w:jc w:val="center"/>
              <w:rPr>
                <w:rFonts w:ascii="Calibri" w:hAnsi="Calibri" w:cs="Calibri"/>
                <w:u w:val="single"/>
              </w:rPr>
            </w:pPr>
            <w:r w:rsidRPr="00B70107">
              <w:rPr>
                <w:rFonts w:ascii="Calibri" w:hAnsi="Calibri" w:cs="Calibri"/>
                <w:u w:val="single"/>
              </w:rPr>
              <w:t>2</w:t>
            </w:r>
          </w:p>
          <w:p w14:paraId="35B3221C" w14:textId="77777777" w:rsidR="008477B8" w:rsidRPr="00B70107" w:rsidRDefault="008477B8" w:rsidP="00927DB3">
            <w:pPr>
              <w:jc w:val="center"/>
              <w:rPr>
                <w:rFonts w:ascii="Calibri" w:hAnsi="Calibri" w:cs="Calibri"/>
                <w:u w:val="single"/>
              </w:rPr>
            </w:pPr>
          </w:p>
          <w:p w14:paraId="5DABDB83" w14:textId="2888F983" w:rsidR="008477B8" w:rsidRPr="00B70107" w:rsidRDefault="008477B8" w:rsidP="00927DB3">
            <w:pPr>
              <w:jc w:val="center"/>
              <w:rPr>
                <w:rFonts w:ascii="Calibri" w:hAnsi="Calibri" w:cs="Calibri"/>
                <w:u w:val="single"/>
              </w:rPr>
            </w:pPr>
            <w:r w:rsidRPr="00B70107">
              <w:rPr>
                <w:rFonts w:ascii="Calibri" w:hAnsi="Calibri" w:cs="Calibri"/>
                <w:u w:val="single"/>
              </w:rPr>
              <w:t>(3/18 = 17%)</w:t>
            </w:r>
          </w:p>
        </w:tc>
      </w:tr>
      <w:tr w:rsidR="00BD0171" w:rsidRPr="00B70107" w14:paraId="39AB4D20" w14:textId="77777777" w:rsidTr="008477B8">
        <w:tc>
          <w:tcPr>
            <w:tcW w:w="2547" w:type="dxa"/>
          </w:tcPr>
          <w:p w14:paraId="1BACD9E9" w14:textId="77777777" w:rsidR="00BD0171" w:rsidRPr="00B70107" w:rsidRDefault="00BD0171" w:rsidP="00927DB3">
            <w:pPr>
              <w:rPr>
                <w:rFonts w:ascii="Calibri" w:hAnsi="Calibri" w:cs="Calibri"/>
                <w:b/>
                <w:bCs/>
              </w:rPr>
            </w:pPr>
            <w:r w:rsidRPr="00B70107">
              <w:rPr>
                <w:rFonts w:ascii="Calibri" w:hAnsi="Calibri" w:cs="Calibri"/>
                <w:b/>
                <w:bCs/>
              </w:rPr>
              <w:t>Monitoring and Evaluation Plan</w:t>
            </w:r>
          </w:p>
          <w:p w14:paraId="513070DF" w14:textId="77777777" w:rsidR="00BD0171" w:rsidRPr="00B70107" w:rsidRDefault="00BD0171" w:rsidP="00927DB3">
            <w:pPr>
              <w:rPr>
                <w:rFonts w:ascii="Calibri" w:hAnsi="Calibri" w:cs="Calibri"/>
                <w:b/>
                <w:bCs/>
                <w:i/>
                <w:iCs/>
              </w:rPr>
            </w:pPr>
            <w:r w:rsidRPr="00B70107">
              <w:rPr>
                <w:rFonts w:ascii="Calibri" w:hAnsi="Calibri" w:cs="Calibri"/>
                <w:i/>
                <w:iCs/>
              </w:rPr>
              <w:t>Explicit reference to monitoring and evaluation of progress and impact of the policy</w:t>
            </w:r>
          </w:p>
        </w:tc>
        <w:tc>
          <w:tcPr>
            <w:tcW w:w="9497" w:type="dxa"/>
          </w:tcPr>
          <w:p w14:paraId="4A6701D0" w14:textId="4F0ED94F" w:rsidR="00BD0171" w:rsidRPr="00B70107" w:rsidRDefault="008477B8" w:rsidP="00927DB3">
            <w:pPr>
              <w:rPr>
                <w:rFonts w:ascii="Calibri" w:hAnsi="Calibri" w:cs="Calibri"/>
                <w:u w:val="single"/>
              </w:rPr>
            </w:pPr>
            <w:r w:rsidRPr="00B70107">
              <w:rPr>
                <w:rFonts w:ascii="Calibri" w:hAnsi="Calibri" w:cs="Calibri"/>
                <w:u w:val="single"/>
              </w:rPr>
              <w:t xml:space="preserve">Six of the 18 policies explicitly reference their plan for monitoring and evaluation. It is promising to note that there were some policies that had been updated or had progress reports published (e.g., The National Walking Strategy, Play Strategy), showing promise for future policies. </w:t>
            </w:r>
          </w:p>
        </w:tc>
        <w:tc>
          <w:tcPr>
            <w:tcW w:w="1843" w:type="dxa"/>
          </w:tcPr>
          <w:p w14:paraId="0FC72862" w14:textId="77777777" w:rsidR="00BD0171" w:rsidRPr="00B70107" w:rsidRDefault="00BD0171" w:rsidP="00927DB3">
            <w:pPr>
              <w:jc w:val="center"/>
              <w:rPr>
                <w:rFonts w:ascii="Calibri" w:hAnsi="Calibri" w:cs="Calibri"/>
                <w:u w:val="single"/>
              </w:rPr>
            </w:pPr>
            <w:r w:rsidRPr="00B70107">
              <w:rPr>
                <w:rFonts w:ascii="Calibri" w:hAnsi="Calibri" w:cs="Calibri"/>
                <w:u w:val="single"/>
              </w:rPr>
              <w:t>2.5</w:t>
            </w:r>
          </w:p>
          <w:p w14:paraId="4AC5F6FA" w14:textId="77777777" w:rsidR="008477B8" w:rsidRPr="00B70107" w:rsidRDefault="008477B8" w:rsidP="00927DB3">
            <w:pPr>
              <w:jc w:val="center"/>
              <w:rPr>
                <w:rFonts w:ascii="Calibri" w:hAnsi="Calibri" w:cs="Calibri"/>
                <w:u w:val="single"/>
              </w:rPr>
            </w:pPr>
          </w:p>
          <w:p w14:paraId="6CBD6A7E" w14:textId="41C58F30" w:rsidR="008477B8" w:rsidRPr="00B70107" w:rsidRDefault="008477B8" w:rsidP="00927DB3">
            <w:pPr>
              <w:jc w:val="center"/>
              <w:rPr>
                <w:rFonts w:ascii="Calibri" w:hAnsi="Calibri" w:cs="Calibri"/>
                <w:u w:val="single"/>
              </w:rPr>
            </w:pPr>
            <w:r w:rsidRPr="00B70107">
              <w:rPr>
                <w:rFonts w:ascii="Calibri" w:hAnsi="Calibri" w:cs="Calibri"/>
                <w:u w:val="single"/>
              </w:rPr>
              <w:t>(6/18 = 33%)</w:t>
            </w:r>
          </w:p>
        </w:tc>
      </w:tr>
      <w:tr w:rsidR="00BD0171" w:rsidRPr="00B70107" w14:paraId="28B0E5A8" w14:textId="77777777" w:rsidTr="008477B8">
        <w:tc>
          <w:tcPr>
            <w:tcW w:w="13887" w:type="dxa"/>
            <w:gridSpan w:val="3"/>
          </w:tcPr>
          <w:p w14:paraId="35C6DA49" w14:textId="7FB82451" w:rsidR="00BD0171" w:rsidRPr="00B70107" w:rsidRDefault="00BD0171" w:rsidP="00927DB3">
            <w:pPr>
              <w:jc w:val="center"/>
              <w:rPr>
                <w:rFonts w:ascii="Calibri" w:hAnsi="Calibri" w:cs="Calibri"/>
                <w:b/>
                <w:bCs/>
              </w:rPr>
            </w:pPr>
            <w:r w:rsidRPr="00B70107">
              <w:rPr>
                <w:rFonts w:ascii="Calibri" w:hAnsi="Calibri" w:cs="Calibri"/>
                <w:b/>
                <w:bCs/>
                <w:sz w:val="28"/>
                <w:szCs w:val="28"/>
              </w:rPr>
              <w:t>Score out of 100: 4</w:t>
            </w:r>
            <w:r w:rsidR="001775A4" w:rsidRPr="00B70107">
              <w:rPr>
                <w:rFonts w:ascii="Calibri" w:hAnsi="Calibri" w:cs="Calibri"/>
                <w:b/>
                <w:bCs/>
                <w:sz w:val="28"/>
                <w:szCs w:val="28"/>
              </w:rPr>
              <w:t>5</w:t>
            </w:r>
            <w:r w:rsidRPr="00B70107">
              <w:rPr>
                <w:rFonts w:ascii="Calibri" w:hAnsi="Calibri" w:cs="Calibri"/>
                <w:b/>
                <w:bCs/>
                <w:sz w:val="28"/>
                <w:szCs w:val="28"/>
              </w:rPr>
              <w:t>.5; Proposed Grade: C</w:t>
            </w:r>
          </w:p>
        </w:tc>
      </w:tr>
    </w:tbl>
    <w:p w14:paraId="48D696D5" w14:textId="77777777" w:rsidR="00D011F2" w:rsidRPr="00B70107" w:rsidRDefault="00D011F2" w:rsidP="00D011F2">
      <w:pPr>
        <w:rPr>
          <w:rFonts w:ascii="Calibri" w:hAnsi="Calibri" w:cs="Calibri"/>
        </w:rPr>
      </w:pPr>
    </w:p>
    <w:p w14:paraId="0B1397DF" w14:textId="77777777" w:rsidR="008477B8" w:rsidRPr="00B70107" w:rsidRDefault="008477B8" w:rsidP="000A4E83">
      <w:pPr>
        <w:rPr>
          <w:rFonts w:eastAsia="Times New Roman" w:cs="Times New Roman"/>
          <w:b/>
          <w:bCs/>
          <w:kern w:val="36"/>
          <w:sz w:val="28"/>
          <w:szCs w:val="28"/>
          <w:lang w:eastAsia="en-GB"/>
        </w:rPr>
      </w:pPr>
    </w:p>
    <w:p w14:paraId="5E6E204B" w14:textId="51A6E7B3" w:rsidR="000A4E83" w:rsidRPr="00B70107" w:rsidRDefault="000A4E83" w:rsidP="000A4E83">
      <w:pPr>
        <w:rPr>
          <w:rFonts w:eastAsia="Times New Roman" w:cs="Times New Roman"/>
          <w:b/>
          <w:bCs/>
          <w:kern w:val="36"/>
          <w:sz w:val="28"/>
          <w:szCs w:val="28"/>
          <w:lang w:eastAsia="en-GB"/>
        </w:rPr>
      </w:pPr>
      <w:r w:rsidRPr="00B70107">
        <w:rPr>
          <w:rFonts w:eastAsia="Times New Roman" w:cs="Times New Roman"/>
          <w:b/>
          <w:bCs/>
          <w:kern w:val="36"/>
          <w:sz w:val="28"/>
          <w:szCs w:val="28"/>
          <w:lang w:eastAsia="en-GB"/>
        </w:rPr>
        <w:t>Table 7.3 Polic</w:t>
      </w:r>
      <w:r w:rsidR="00CA743F" w:rsidRPr="00B70107">
        <w:rPr>
          <w:rFonts w:eastAsia="Times New Roman" w:cs="Times New Roman"/>
          <w:b/>
          <w:bCs/>
          <w:kern w:val="36"/>
          <w:sz w:val="28"/>
          <w:szCs w:val="28"/>
          <w:lang w:eastAsia="en-GB"/>
        </w:rPr>
        <w:t>y</w:t>
      </w:r>
      <w:r w:rsidRPr="00B70107">
        <w:rPr>
          <w:rFonts w:eastAsia="Times New Roman" w:cs="Times New Roman"/>
          <w:b/>
          <w:bCs/>
          <w:kern w:val="36"/>
          <w:sz w:val="28"/>
          <w:szCs w:val="28"/>
          <w:lang w:eastAsia="en-GB"/>
        </w:rPr>
        <w:t xml:space="preserve"> instruments considered to grade the Government Indicator (physical activity only)</w:t>
      </w:r>
    </w:p>
    <w:tbl>
      <w:tblPr>
        <w:tblW w:w="13948" w:type="dxa"/>
        <w:tblLayout w:type="fixed"/>
        <w:tblLook w:val="04A0" w:firstRow="1" w:lastRow="0" w:firstColumn="1" w:lastColumn="0" w:noHBand="0" w:noVBand="1"/>
      </w:tblPr>
      <w:tblGrid>
        <w:gridCol w:w="846"/>
        <w:gridCol w:w="3260"/>
        <w:gridCol w:w="1276"/>
        <w:gridCol w:w="6095"/>
        <w:gridCol w:w="2471"/>
      </w:tblGrid>
      <w:tr w:rsidR="008477B8" w:rsidRPr="00B70107" w14:paraId="7C7E31F8" w14:textId="77777777" w:rsidTr="00137ED2">
        <w:trPr>
          <w:trHeight w:val="32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412B" w14:textId="1320C775" w:rsidR="008477B8" w:rsidRPr="00B70107" w:rsidRDefault="008477B8" w:rsidP="008477B8">
            <w:pPr>
              <w:spacing w:after="0" w:line="240" w:lineRule="auto"/>
              <w:jc w:val="center"/>
              <w:rPr>
                <w:rFonts w:ascii="Calibri" w:eastAsia="Times New Roman" w:hAnsi="Calibri" w:cs="Times New Roman"/>
                <w:b/>
                <w:bCs/>
                <w:sz w:val="24"/>
                <w:szCs w:val="24"/>
                <w:lang w:eastAsia="en-GB"/>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68808E7" w14:textId="77777777" w:rsidR="008477B8" w:rsidRPr="00B70107" w:rsidRDefault="008477B8" w:rsidP="008477B8">
            <w:pPr>
              <w:spacing w:after="0" w:line="240" w:lineRule="auto"/>
              <w:jc w:val="center"/>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Title of policy instrument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CA7EEE" w14:textId="77777777" w:rsidR="008477B8" w:rsidRPr="00B70107" w:rsidRDefault="008477B8" w:rsidP="008477B8">
            <w:pPr>
              <w:spacing w:after="0" w:line="240" w:lineRule="auto"/>
              <w:jc w:val="center"/>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Published</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2743159" w14:textId="77777777" w:rsidR="008477B8" w:rsidRPr="00B70107" w:rsidRDefault="008477B8" w:rsidP="008477B8">
            <w:pPr>
              <w:spacing w:after="0" w:line="240" w:lineRule="auto"/>
              <w:jc w:val="center"/>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Sector (Directorate)</w:t>
            </w:r>
          </w:p>
        </w:tc>
        <w:tc>
          <w:tcPr>
            <w:tcW w:w="2471" w:type="dxa"/>
            <w:tcBorders>
              <w:top w:val="single" w:sz="4" w:space="0" w:color="auto"/>
              <w:left w:val="nil"/>
              <w:bottom w:val="single" w:sz="4" w:space="0" w:color="auto"/>
              <w:right w:val="single" w:sz="4" w:space="0" w:color="auto"/>
            </w:tcBorders>
          </w:tcPr>
          <w:p w14:paraId="22EE9C8C" w14:textId="3D9CF16E" w:rsidR="008477B8" w:rsidRPr="00B70107" w:rsidRDefault="008477B8" w:rsidP="008477B8">
            <w:pPr>
              <w:spacing w:after="0" w:line="240" w:lineRule="auto"/>
              <w:jc w:val="center"/>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Link &amp; notes</w:t>
            </w:r>
          </w:p>
        </w:tc>
      </w:tr>
      <w:tr w:rsidR="008477B8" w:rsidRPr="00B70107" w14:paraId="07C02557" w14:textId="77777777" w:rsidTr="00137ED2">
        <w:trPr>
          <w:trHeight w:val="14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D8FED2"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1</w:t>
            </w:r>
          </w:p>
        </w:tc>
        <w:tc>
          <w:tcPr>
            <w:tcW w:w="3260" w:type="dxa"/>
            <w:tcBorders>
              <w:top w:val="nil"/>
              <w:left w:val="nil"/>
              <w:bottom w:val="single" w:sz="4" w:space="0" w:color="auto"/>
              <w:right w:val="single" w:sz="4" w:space="0" w:color="auto"/>
            </w:tcBorders>
            <w:shd w:val="clear" w:color="auto" w:fill="auto"/>
            <w:vAlign w:val="center"/>
            <w:hideMark/>
          </w:tcPr>
          <w:p w14:paraId="7BB46386"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Update to the Climate Change Plan 2018 – 2032</w:t>
            </w:r>
          </w:p>
        </w:tc>
        <w:tc>
          <w:tcPr>
            <w:tcW w:w="1276" w:type="dxa"/>
            <w:tcBorders>
              <w:top w:val="nil"/>
              <w:left w:val="nil"/>
              <w:bottom w:val="single" w:sz="4" w:space="0" w:color="auto"/>
              <w:right w:val="single" w:sz="4" w:space="0" w:color="auto"/>
            </w:tcBorders>
            <w:shd w:val="clear" w:color="auto" w:fill="auto"/>
            <w:noWrap/>
            <w:vAlign w:val="center"/>
            <w:hideMark/>
          </w:tcPr>
          <w:p w14:paraId="525B1672"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Dec-20</w:t>
            </w:r>
          </w:p>
        </w:tc>
        <w:tc>
          <w:tcPr>
            <w:tcW w:w="6095" w:type="dxa"/>
            <w:tcBorders>
              <w:top w:val="nil"/>
              <w:left w:val="nil"/>
              <w:bottom w:val="single" w:sz="4" w:space="0" w:color="auto"/>
              <w:right w:val="single" w:sz="4" w:space="0" w:color="auto"/>
            </w:tcBorders>
            <w:shd w:val="clear" w:color="auto" w:fill="auto"/>
            <w:vAlign w:val="center"/>
            <w:hideMark/>
          </w:tcPr>
          <w:p w14:paraId="0B78FC8B"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Energy and Climate Change Directorate, Agriculture and Rural Delivery Directorate, Economic Development Directorate, Environment and Forestry Directorate, Fair Work, Employability and Skills Directorate, Housing and Social Justice Directorate, Scottish National Investment Bank Directorate</w:t>
            </w:r>
          </w:p>
        </w:tc>
        <w:tc>
          <w:tcPr>
            <w:tcW w:w="2471" w:type="dxa"/>
            <w:tcBorders>
              <w:top w:val="nil"/>
              <w:left w:val="nil"/>
              <w:bottom w:val="single" w:sz="4" w:space="0" w:color="auto"/>
              <w:right w:val="single" w:sz="4" w:space="0" w:color="auto"/>
            </w:tcBorders>
          </w:tcPr>
          <w:p w14:paraId="26814849" w14:textId="77777777" w:rsidR="008477B8" w:rsidRPr="00B70107" w:rsidRDefault="008477B8" w:rsidP="008477B8">
            <w:r w:rsidRPr="00B70107">
              <w:t>(</w:t>
            </w:r>
            <w:hyperlink r:id="rId48" w:history="1">
              <w:r w:rsidRPr="00B70107">
                <w:rPr>
                  <w:u w:val="single"/>
                </w:rPr>
                <w:t>link</w:t>
              </w:r>
            </w:hyperlink>
            <w:r w:rsidRPr="00B70107">
              <w:t xml:space="preserve">) </w:t>
            </w:r>
          </w:p>
          <w:p w14:paraId="72F8CC87" w14:textId="55778A79" w:rsidR="008477B8" w:rsidRPr="00B70107" w:rsidRDefault="008477B8" w:rsidP="008477B8">
            <w:pPr>
              <w:spacing w:after="0" w:line="240" w:lineRule="auto"/>
              <w:rPr>
                <w:rFonts w:ascii="Calibri" w:eastAsia="Times New Roman" w:hAnsi="Calibri" w:cs="Times New Roman"/>
                <w:sz w:val="24"/>
                <w:szCs w:val="24"/>
                <w:lang w:eastAsia="en-GB"/>
              </w:rPr>
            </w:pPr>
          </w:p>
        </w:tc>
      </w:tr>
      <w:tr w:rsidR="008477B8" w:rsidRPr="00B70107" w14:paraId="34F4BB34" w14:textId="77777777" w:rsidTr="00137ED2">
        <w:trPr>
          <w:trHeight w:val="121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8B339B"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42478F3C"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Recommendation report from the Scottish Government’s Body Image Advisory Group on Good Body Image</w:t>
            </w:r>
          </w:p>
        </w:tc>
        <w:tc>
          <w:tcPr>
            <w:tcW w:w="1276" w:type="dxa"/>
            <w:tcBorders>
              <w:top w:val="nil"/>
              <w:left w:val="nil"/>
              <w:bottom w:val="single" w:sz="4" w:space="0" w:color="auto"/>
              <w:right w:val="single" w:sz="4" w:space="0" w:color="auto"/>
            </w:tcBorders>
            <w:shd w:val="clear" w:color="auto" w:fill="auto"/>
            <w:noWrap/>
            <w:vAlign w:val="center"/>
            <w:hideMark/>
          </w:tcPr>
          <w:p w14:paraId="4E4EC70A"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Mar-20</w:t>
            </w:r>
          </w:p>
        </w:tc>
        <w:tc>
          <w:tcPr>
            <w:tcW w:w="6095" w:type="dxa"/>
            <w:tcBorders>
              <w:top w:val="nil"/>
              <w:left w:val="nil"/>
              <w:bottom w:val="single" w:sz="4" w:space="0" w:color="auto"/>
              <w:right w:val="single" w:sz="4" w:space="0" w:color="auto"/>
            </w:tcBorders>
            <w:shd w:val="clear" w:color="auto" w:fill="auto"/>
            <w:vAlign w:val="center"/>
            <w:hideMark/>
          </w:tcPr>
          <w:p w14:paraId="3F36A718"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Community Health and Social Care Directorate</w:t>
            </w:r>
          </w:p>
        </w:tc>
        <w:tc>
          <w:tcPr>
            <w:tcW w:w="2471" w:type="dxa"/>
            <w:tcBorders>
              <w:top w:val="nil"/>
              <w:left w:val="nil"/>
              <w:bottom w:val="single" w:sz="4" w:space="0" w:color="auto"/>
              <w:right w:val="single" w:sz="4" w:space="0" w:color="auto"/>
            </w:tcBorders>
          </w:tcPr>
          <w:p w14:paraId="0D4C18B9" w14:textId="5DCF62D6" w:rsidR="008477B8" w:rsidRPr="00B70107" w:rsidRDefault="00F1041F" w:rsidP="008477B8">
            <w:pPr>
              <w:spacing w:after="0" w:line="240" w:lineRule="auto"/>
              <w:rPr>
                <w:rFonts w:ascii="Calibri" w:eastAsia="Times New Roman" w:hAnsi="Calibri" w:cs="Times New Roman"/>
                <w:sz w:val="24"/>
                <w:szCs w:val="24"/>
                <w:lang w:eastAsia="en-GB"/>
              </w:rPr>
            </w:pPr>
            <w:hyperlink r:id="rId49" w:history="1">
              <w:r w:rsidR="008477B8" w:rsidRPr="00B70107">
                <w:rPr>
                  <w:u w:val="single"/>
                </w:rPr>
                <w:t>Link</w:t>
              </w:r>
            </w:hyperlink>
          </w:p>
        </w:tc>
      </w:tr>
      <w:tr w:rsidR="008477B8" w:rsidRPr="00B70107" w14:paraId="4E36E48D" w14:textId="77777777" w:rsidTr="00137ED2">
        <w:trPr>
          <w:trHeight w:val="96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107F0C"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3</w:t>
            </w:r>
          </w:p>
        </w:tc>
        <w:tc>
          <w:tcPr>
            <w:tcW w:w="3260" w:type="dxa"/>
            <w:tcBorders>
              <w:top w:val="nil"/>
              <w:left w:val="nil"/>
              <w:bottom w:val="single" w:sz="4" w:space="0" w:color="auto"/>
              <w:right w:val="single" w:sz="4" w:space="0" w:color="auto"/>
            </w:tcBorders>
            <w:shd w:val="clear" w:color="auto" w:fill="auto"/>
            <w:vAlign w:val="center"/>
            <w:hideMark/>
          </w:tcPr>
          <w:p w14:paraId="71E6F10F"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Scotland’s National Outdoor Play &amp; Learning Position Statement</w:t>
            </w:r>
          </w:p>
        </w:tc>
        <w:tc>
          <w:tcPr>
            <w:tcW w:w="1276" w:type="dxa"/>
            <w:tcBorders>
              <w:top w:val="nil"/>
              <w:left w:val="nil"/>
              <w:bottom w:val="single" w:sz="4" w:space="0" w:color="auto"/>
              <w:right w:val="single" w:sz="4" w:space="0" w:color="auto"/>
            </w:tcBorders>
            <w:shd w:val="clear" w:color="auto" w:fill="auto"/>
            <w:noWrap/>
            <w:vAlign w:val="center"/>
            <w:hideMark/>
          </w:tcPr>
          <w:p w14:paraId="43BAB679"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Dec-20</w:t>
            </w:r>
          </w:p>
        </w:tc>
        <w:tc>
          <w:tcPr>
            <w:tcW w:w="6095" w:type="dxa"/>
            <w:tcBorders>
              <w:top w:val="nil"/>
              <w:left w:val="nil"/>
              <w:bottom w:val="single" w:sz="4" w:space="0" w:color="auto"/>
              <w:right w:val="single" w:sz="4" w:space="0" w:color="auto"/>
            </w:tcBorders>
            <w:shd w:val="clear" w:color="auto" w:fill="auto"/>
            <w:vAlign w:val="center"/>
            <w:hideMark/>
          </w:tcPr>
          <w:p w14:paraId="6CF71AB1"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Children and Families Directorate, Early Learning and Childcare Programme Directorate</w:t>
            </w:r>
          </w:p>
        </w:tc>
        <w:tc>
          <w:tcPr>
            <w:tcW w:w="2471" w:type="dxa"/>
            <w:tcBorders>
              <w:top w:val="nil"/>
              <w:left w:val="nil"/>
              <w:bottom w:val="single" w:sz="4" w:space="0" w:color="auto"/>
              <w:right w:val="single" w:sz="4" w:space="0" w:color="auto"/>
            </w:tcBorders>
          </w:tcPr>
          <w:p w14:paraId="7FD6796C" w14:textId="780FA041" w:rsidR="008477B8" w:rsidRPr="00B70107" w:rsidRDefault="00F1041F" w:rsidP="008477B8">
            <w:pPr>
              <w:spacing w:after="0" w:line="240" w:lineRule="auto"/>
              <w:rPr>
                <w:rFonts w:ascii="Calibri" w:eastAsia="Times New Roman" w:hAnsi="Calibri" w:cs="Times New Roman"/>
                <w:sz w:val="24"/>
                <w:szCs w:val="24"/>
                <w:lang w:eastAsia="en-GB"/>
              </w:rPr>
            </w:pPr>
            <w:hyperlink r:id="rId50" w:history="1">
              <w:r w:rsidR="008477B8" w:rsidRPr="00B70107">
                <w:rPr>
                  <w:u w:val="single"/>
                </w:rPr>
                <w:t>Link</w:t>
              </w:r>
            </w:hyperlink>
          </w:p>
        </w:tc>
      </w:tr>
      <w:tr w:rsidR="008477B8" w:rsidRPr="00B70107" w14:paraId="3D9471FA" w14:textId="77777777" w:rsidTr="00137ED2">
        <w:trPr>
          <w:trHeight w:val="127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6460E2"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4</w:t>
            </w:r>
          </w:p>
        </w:tc>
        <w:tc>
          <w:tcPr>
            <w:tcW w:w="3260" w:type="dxa"/>
            <w:tcBorders>
              <w:top w:val="nil"/>
              <w:left w:val="nil"/>
              <w:bottom w:val="single" w:sz="4" w:space="0" w:color="auto"/>
              <w:right w:val="single" w:sz="4" w:space="0" w:color="auto"/>
            </w:tcBorders>
            <w:shd w:val="clear" w:color="auto" w:fill="auto"/>
            <w:vAlign w:val="center"/>
            <w:hideMark/>
          </w:tcPr>
          <w:p w14:paraId="7DE59EC1"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National parenting strategy: making a positive difference to children and young people through parenting</w:t>
            </w:r>
          </w:p>
        </w:tc>
        <w:tc>
          <w:tcPr>
            <w:tcW w:w="1276" w:type="dxa"/>
            <w:tcBorders>
              <w:top w:val="nil"/>
              <w:left w:val="nil"/>
              <w:bottom w:val="single" w:sz="4" w:space="0" w:color="auto"/>
              <w:right w:val="single" w:sz="4" w:space="0" w:color="auto"/>
            </w:tcBorders>
            <w:shd w:val="clear" w:color="auto" w:fill="auto"/>
            <w:noWrap/>
            <w:vAlign w:val="center"/>
            <w:hideMark/>
          </w:tcPr>
          <w:p w14:paraId="6D085E74"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Oct-12</w:t>
            </w:r>
          </w:p>
        </w:tc>
        <w:tc>
          <w:tcPr>
            <w:tcW w:w="6095" w:type="dxa"/>
            <w:tcBorders>
              <w:top w:val="nil"/>
              <w:left w:val="nil"/>
              <w:bottom w:val="single" w:sz="4" w:space="0" w:color="auto"/>
              <w:right w:val="single" w:sz="4" w:space="0" w:color="auto"/>
            </w:tcBorders>
            <w:shd w:val="clear" w:color="auto" w:fill="auto"/>
            <w:vAlign w:val="center"/>
            <w:hideMark/>
          </w:tcPr>
          <w:p w14:paraId="751C6A38"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Children and Families Directorate</w:t>
            </w:r>
          </w:p>
        </w:tc>
        <w:tc>
          <w:tcPr>
            <w:tcW w:w="2471" w:type="dxa"/>
            <w:tcBorders>
              <w:top w:val="nil"/>
              <w:left w:val="nil"/>
              <w:bottom w:val="single" w:sz="4" w:space="0" w:color="auto"/>
              <w:right w:val="single" w:sz="4" w:space="0" w:color="auto"/>
            </w:tcBorders>
          </w:tcPr>
          <w:p w14:paraId="484EC44B" w14:textId="0A83C8C4" w:rsidR="008477B8" w:rsidRPr="00B70107" w:rsidRDefault="00F1041F" w:rsidP="008477B8">
            <w:pPr>
              <w:spacing w:after="0" w:line="240" w:lineRule="auto"/>
              <w:rPr>
                <w:rFonts w:ascii="Calibri" w:eastAsia="Times New Roman" w:hAnsi="Calibri" w:cs="Times New Roman"/>
                <w:sz w:val="24"/>
                <w:szCs w:val="24"/>
                <w:lang w:eastAsia="en-GB"/>
              </w:rPr>
            </w:pPr>
            <w:hyperlink r:id="rId51" w:history="1">
              <w:r w:rsidR="008477B8" w:rsidRPr="00B70107">
                <w:rPr>
                  <w:u w:val="single"/>
                </w:rPr>
                <w:t>Link</w:t>
              </w:r>
            </w:hyperlink>
          </w:p>
        </w:tc>
      </w:tr>
      <w:tr w:rsidR="008477B8" w:rsidRPr="00B70107" w14:paraId="57331A34" w14:textId="77777777" w:rsidTr="00137ED2">
        <w:trPr>
          <w:trHeight w:val="99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FD29DE"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5</w:t>
            </w:r>
          </w:p>
        </w:tc>
        <w:tc>
          <w:tcPr>
            <w:tcW w:w="3260" w:type="dxa"/>
            <w:tcBorders>
              <w:top w:val="nil"/>
              <w:left w:val="nil"/>
              <w:bottom w:val="single" w:sz="4" w:space="0" w:color="auto"/>
              <w:right w:val="single" w:sz="4" w:space="0" w:color="auto"/>
            </w:tcBorders>
            <w:shd w:val="clear" w:color="auto" w:fill="auto"/>
            <w:vAlign w:val="center"/>
            <w:hideMark/>
          </w:tcPr>
          <w:p w14:paraId="2B3BFD92"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Realising the ambition: Being Me National practice guidance for early years in Scotland</w:t>
            </w:r>
          </w:p>
        </w:tc>
        <w:tc>
          <w:tcPr>
            <w:tcW w:w="1276" w:type="dxa"/>
            <w:tcBorders>
              <w:top w:val="nil"/>
              <w:left w:val="nil"/>
              <w:bottom w:val="single" w:sz="4" w:space="0" w:color="auto"/>
              <w:right w:val="single" w:sz="4" w:space="0" w:color="auto"/>
            </w:tcBorders>
            <w:shd w:val="clear" w:color="auto" w:fill="auto"/>
            <w:noWrap/>
            <w:vAlign w:val="center"/>
            <w:hideMark/>
          </w:tcPr>
          <w:p w14:paraId="377B8E4D"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Feb-20</w:t>
            </w:r>
          </w:p>
        </w:tc>
        <w:tc>
          <w:tcPr>
            <w:tcW w:w="6095" w:type="dxa"/>
            <w:tcBorders>
              <w:top w:val="nil"/>
              <w:left w:val="nil"/>
              <w:bottom w:val="single" w:sz="4" w:space="0" w:color="auto"/>
              <w:right w:val="single" w:sz="4" w:space="0" w:color="auto"/>
            </w:tcBorders>
            <w:shd w:val="clear" w:color="auto" w:fill="auto"/>
            <w:vAlign w:val="center"/>
            <w:hideMark/>
          </w:tcPr>
          <w:p w14:paraId="1A0EE5A9"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NO DIRECTORATE; see https://education.gov.scot/improvement/learning-resources/realising-the-ambition/</w:t>
            </w:r>
          </w:p>
        </w:tc>
        <w:tc>
          <w:tcPr>
            <w:tcW w:w="2471" w:type="dxa"/>
            <w:tcBorders>
              <w:top w:val="nil"/>
              <w:left w:val="nil"/>
              <w:bottom w:val="single" w:sz="4" w:space="0" w:color="auto"/>
              <w:right w:val="single" w:sz="4" w:space="0" w:color="auto"/>
            </w:tcBorders>
          </w:tcPr>
          <w:p w14:paraId="2E000597" w14:textId="7CB9B116" w:rsidR="008477B8" w:rsidRPr="00B70107" w:rsidRDefault="00F1041F" w:rsidP="008477B8">
            <w:pPr>
              <w:spacing w:after="0" w:line="240" w:lineRule="auto"/>
              <w:rPr>
                <w:rFonts w:ascii="Calibri" w:eastAsia="Times New Roman" w:hAnsi="Calibri" w:cs="Times New Roman"/>
                <w:sz w:val="24"/>
                <w:szCs w:val="24"/>
                <w:lang w:eastAsia="en-GB"/>
              </w:rPr>
            </w:pPr>
            <w:hyperlink r:id="rId52" w:history="1">
              <w:r w:rsidR="008477B8" w:rsidRPr="00B70107">
                <w:rPr>
                  <w:u w:val="single"/>
                </w:rPr>
                <w:t>Link</w:t>
              </w:r>
            </w:hyperlink>
          </w:p>
        </w:tc>
      </w:tr>
      <w:tr w:rsidR="008477B8" w:rsidRPr="00B70107" w14:paraId="3385F945" w14:textId="77777777" w:rsidTr="00137ED2">
        <w:trPr>
          <w:trHeight w:val="27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37FC98"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6</w:t>
            </w:r>
          </w:p>
        </w:tc>
        <w:tc>
          <w:tcPr>
            <w:tcW w:w="3260" w:type="dxa"/>
            <w:tcBorders>
              <w:top w:val="nil"/>
              <w:left w:val="nil"/>
              <w:bottom w:val="single" w:sz="4" w:space="0" w:color="auto"/>
              <w:right w:val="single" w:sz="4" w:space="0" w:color="auto"/>
            </w:tcBorders>
            <w:shd w:val="clear" w:color="auto" w:fill="auto"/>
            <w:vAlign w:val="center"/>
            <w:hideMark/>
          </w:tcPr>
          <w:p w14:paraId="3AE2561E"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Restricted Roads (20 mph Speed Limit) - (Scotland) Bill</w:t>
            </w:r>
          </w:p>
        </w:tc>
        <w:tc>
          <w:tcPr>
            <w:tcW w:w="1276" w:type="dxa"/>
            <w:tcBorders>
              <w:top w:val="nil"/>
              <w:left w:val="nil"/>
              <w:bottom w:val="single" w:sz="4" w:space="0" w:color="auto"/>
              <w:right w:val="single" w:sz="4" w:space="0" w:color="auto"/>
            </w:tcBorders>
            <w:shd w:val="clear" w:color="auto" w:fill="auto"/>
            <w:noWrap/>
            <w:vAlign w:val="center"/>
            <w:hideMark/>
          </w:tcPr>
          <w:p w14:paraId="180EA354"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Sep-18</w:t>
            </w:r>
          </w:p>
        </w:tc>
        <w:tc>
          <w:tcPr>
            <w:tcW w:w="6095" w:type="dxa"/>
            <w:tcBorders>
              <w:top w:val="nil"/>
              <w:left w:val="nil"/>
              <w:bottom w:val="single" w:sz="4" w:space="0" w:color="auto"/>
              <w:right w:val="single" w:sz="4" w:space="0" w:color="auto"/>
            </w:tcBorders>
            <w:shd w:val="clear" w:color="auto" w:fill="auto"/>
            <w:vAlign w:val="center"/>
            <w:hideMark/>
          </w:tcPr>
          <w:p w14:paraId="049C8C9C"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NO DIRECTORATE; see https://www.parliament.scot/bills-and-laws/bills/restricted-roads-20-mph-speed-limit-scotland-bill</w:t>
            </w:r>
          </w:p>
        </w:tc>
        <w:tc>
          <w:tcPr>
            <w:tcW w:w="2471" w:type="dxa"/>
            <w:tcBorders>
              <w:top w:val="nil"/>
              <w:left w:val="nil"/>
              <w:bottom w:val="single" w:sz="4" w:space="0" w:color="auto"/>
              <w:right w:val="single" w:sz="4" w:space="0" w:color="auto"/>
            </w:tcBorders>
          </w:tcPr>
          <w:p w14:paraId="7ACB876F" w14:textId="77777777" w:rsidR="008477B8" w:rsidRPr="00B70107" w:rsidRDefault="00F1041F" w:rsidP="008477B8">
            <w:hyperlink r:id="rId53" w:history="1">
              <w:r w:rsidR="008477B8" w:rsidRPr="00B70107">
                <w:rPr>
                  <w:u w:val="single"/>
                </w:rPr>
                <w:t>Link</w:t>
              </w:r>
            </w:hyperlink>
          </w:p>
          <w:p w14:paraId="1469450B" w14:textId="7849284B" w:rsidR="008477B8" w:rsidRPr="00B70107" w:rsidRDefault="008477B8" w:rsidP="008477B8">
            <w:pPr>
              <w:spacing w:after="0" w:line="240" w:lineRule="auto"/>
              <w:rPr>
                <w:rFonts w:ascii="Calibri" w:eastAsia="Times New Roman" w:hAnsi="Calibri" w:cs="Times New Roman"/>
                <w:sz w:val="24"/>
                <w:szCs w:val="24"/>
                <w:lang w:eastAsia="en-GB"/>
              </w:rPr>
            </w:pPr>
            <w:r w:rsidRPr="00B70107">
              <w:t>Unsuccessful at national level, did not make it past stage 1; only implemented at a local (city-wide) level in the City of Edinburgh and evaluation is ongoing.</w:t>
            </w:r>
          </w:p>
        </w:tc>
      </w:tr>
      <w:tr w:rsidR="008477B8" w:rsidRPr="00B70107" w14:paraId="7C210D47" w14:textId="77777777" w:rsidTr="00137ED2">
        <w:trPr>
          <w:trHeight w:val="27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15775A"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7</w:t>
            </w:r>
          </w:p>
        </w:tc>
        <w:tc>
          <w:tcPr>
            <w:tcW w:w="3260" w:type="dxa"/>
            <w:tcBorders>
              <w:top w:val="nil"/>
              <w:left w:val="nil"/>
              <w:bottom w:val="single" w:sz="4" w:space="0" w:color="auto"/>
              <w:right w:val="single" w:sz="4" w:space="0" w:color="auto"/>
            </w:tcBorders>
            <w:shd w:val="clear" w:color="auto" w:fill="auto"/>
            <w:vAlign w:val="center"/>
            <w:hideMark/>
          </w:tcPr>
          <w:p w14:paraId="6A90BFFD"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A healthier future: Scotland's diet and healthy weight delivery plan</w:t>
            </w:r>
          </w:p>
        </w:tc>
        <w:tc>
          <w:tcPr>
            <w:tcW w:w="1276" w:type="dxa"/>
            <w:tcBorders>
              <w:top w:val="nil"/>
              <w:left w:val="nil"/>
              <w:bottom w:val="single" w:sz="4" w:space="0" w:color="auto"/>
              <w:right w:val="single" w:sz="4" w:space="0" w:color="auto"/>
            </w:tcBorders>
            <w:shd w:val="clear" w:color="auto" w:fill="auto"/>
            <w:noWrap/>
            <w:vAlign w:val="center"/>
            <w:hideMark/>
          </w:tcPr>
          <w:p w14:paraId="4E223655"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Jul-18</w:t>
            </w:r>
          </w:p>
        </w:tc>
        <w:tc>
          <w:tcPr>
            <w:tcW w:w="6095" w:type="dxa"/>
            <w:tcBorders>
              <w:top w:val="nil"/>
              <w:left w:val="nil"/>
              <w:bottom w:val="single" w:sz="4" w:space="0" w:color="auto"/>
              <w:right w:val="single" w:sz="4" w:space="0" w:color="auto"/>
            </w:tcBorders>
            <w:shd w:val="clear" w:color="auto" w:fill="auto"/>
            <w:vAlign w:val="center"/>
            <w:hideMark/>
          </w:tcPr>
          <w:p w14:paraId="118B4A86"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Community Health and Social Care Directorate</w:t>
            </w:r>
          </w:p>
        </w:tc>
        <w:tc>
          <w:tcPr>
            <w:tcW w:w="2471" w:type="dxa"/>
            <w:tcBorders>
              <w:top w:val="nil"/>
              <w:left w:val="nil"/>
              <w:bottom w:val="single" w:sz="4" w:space="0" w:color="auto"/>
              <w:right w:val="single" w:sz="4" w:space="0" w:color="auto"/>
            </w:tcBorders>
          </w:tcPr>
          <w:p w14:paraId="49F297D4" w14:textId="3EED76DC" w:rsidR="008477B8" w:rsidRPr="00B70107" w:rsidRDefault="00F1041F" w:rsidP="008477B8">
            <w:pPr>
              <w:spacing w:after="0" w:line="240" w:lineRule="auto"/>
              <w:rPr>
                <w:rFonts w:ascii="Calibri" w:eastAsia="Times New Roman" w:hAnsi="Calibri" w:cs="Times New Roman"/>
                <w:sz w:val="24"/>
                <w:szCs w:val="24"/>
                <w:lang w:eastAsia="en-GB"/>
              </w:rPr>
            </w:pPr>
            <w:hyperlink r:id="rId54" w:history="1">
              <w:r w:rsidR="008477B8" w:rsidRPr="00B70107">
                <w:rPr>
                  <w:u w:val="single"/>
                </w:rPr>
                <w:t>Link</w:t>
              </w:r>
            </w:hyperlink>
          </w:p>
        </w:tc>
      </w:tr>
      <w:tr w:rsidR="008477B8" w:rsidRPr="00B70107" w14:paraId="6FD7EE3C" w14:textId="77777777" w:rsidTr="00137ED2">
        <w:trPr>
          <w:trHeight w:val="58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5F2787"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8</w:t>
            </w:r>
          </w:p>
        </w:tc>
        <w:tc>
          <w:tcPr>
            <w:tcW w:w="3260" w:type="dxa"/>
            <w:tcBorders>
              <w:top w:val="nil"/>
              <w:left w:val="nil"/>
              <w:bottom w:val="single" w:sz="4" w:space="0" w:color="auto"/>
              <w:right w:val="single" w:sz="4" w:space="0" w:color="auto"/>
            </w:tcBorders>
            <w:shd w:val="clear" w:color="auto" w:fill="auto"/>
            <w:vAlign w:val="center"/>
            <w:hideMark/>
          </w:tcPr>
          <w:p w14:paraId="427C2E33"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Public Health Priorities for Scotland</w:t>
            </w:r>
          </w:p>
        </w:tc>
        <w:tc>
          <w:tcPr>
            <w:tcW w:w="1276" w:type="dxa"/>
            <w:tcBorders>
              <w:top w:val="nil"/>
              <w:left w:val="nil"/>
              <w:bottom w:val="single" w:sz="4" w:space="0" w:color="auto"/>
              <w:right w:val="single" w:sz="4" w:space="0" w:color="auto"/>
            </w:tcBorders>
            <w:shd w:val="clear" w:color="auto" w:fill="auto"/>
            <w:noWrap/>
            <w:vAlign w:val="center"/>
            <w:hideMark/>
          </w:tcPr>
          <w:p w14:paraId="3105314C"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Jun-18</w:t>
            </w:r>
          </w:p>
        </w:tc>
        <w:tc>
          <w:tcPr>
            <w:tcW w:w="6095" w:type="dxa"/>
            <w:tcBorders>
              <w:top w:val="nil"/>
              <w:left w:val="nil"/>
              <w:bottom w:val="single" w:sz="4" w:space="0" w:color="auto"/>
              <w:right w:val="single" w:sz="4" w:space="0" w:color="auto"/>
            </w:tcBorders>
            <w:shd w:val="clear" w:color="auto" w:fill="auto"/>
            <w:vAlign w:val="center"/>
            <w:hideMark/>
          </w:tcPr>
          <w:p w14:paraId="2F40F120"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Population Health Directorate</w:t>
            </w:r>
          </w:p>
        </w:tc>
        <w:tc>
          <w:tcPr>
            <w:tcW w:w="2471" w:type="dxa"/>
            <w:tcBorders>
              <w:top w:val="nil"/>
              <w:left w:val="nil"/>
              <w:bottom w:val="single" w:sz="4" w:space="0" w:color="auto"/>
              <w:right w:val="single" w:sz="4" w:space="0" w:color="auto"/>
            </w:tcBorders>
          </w:tcPr>
          <w:p w14:paraId="6AB98484" w14:textId="36F5BD40" w:rsidR="008477B8" w:rsidRPr="00B70107" w:rsidRDefault="00F1041F" w:rsidP="008477B8">
            <w:pPr>
              <w:spacing w:after="0" w:line="240" w:lineRule="auto"/>
              <w:rPr>
                <w:rFonts w:ascii="Calibri" w:eastAsia="Times New Roman" w:hAnsi="Calibri" w:cs="Times New Roman"/>
                <w:sz w:val="24"/>
                <w:szCs w:val="24"/>
                <w:lang w:eastAsia="en-GB"/>
              </w:rPr>
            </w:pPr>
            <w:hyperlink r:id="rId55" w:history="1">
              <w:r w:rsidR="008477B8" w:rsidRPr="00B70107">
                <w:rPr>
                  <w:u w:val="single"/>
                </w:rPr>
                <w:t>Link</w:t>
              </w:r>
            </w:hyperlink>
          </w:p>
        </w:tc>
      </w:tr>
      <w:tr w:rsidR="008477B8" w:rsidRPr="00B70107" w14:paraId="23013F0D" w14:textId="77777777" w:rsidTr="00137ED2">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71D91F"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9</w:t>
            </w:r>
          </w:p>
        </w:tc>
        <w:tc>
          <w:tcPr>
            <w:tcW w:w="3260" w:type="dxa"/>
            <w:tcBorders>
              <w:top w:val="nil"/>
              <w:left w:val="nil"/>
              <w:bottom w:val="single" w:sz="4" w:space="0" w:color="auto"/>
              <w:right w:val="single" w:sz="4" w:space="0" w:color="auto"/>
            </w:tcBorders>
            <w:shd w:val="clear" w:color="auto" w:fill="auto"/>
            <w:vAlign w:val="center"/>
            <w:hideMark/>
          </w:tcPr>
          <w:p w14:paraId="38A36350"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Included, engaged and involved part 1: promoting and managing school attendance</w:t>
            </w:r>
          </w:p>
        </w:tc>
        <w:tc>
          <w:tcPr>
            <w:tcW w:w="1276" w:type="dxa"/>
            <w:tcBorders>
              <w:top w:val="nil"/>
              <w:left w:val="nil"/>
              <w:bottom w:val="single" w:sz="4" w:space="0" w:color="auto"/>
              <w:right w:val="single" w:sz="4" w:space="0" w:color="auto"/>
            </w:tcBorders>
            <w:shd w:val="clear" w:color="auto" w:fill="auto"/>
            <w:noWrap/>
            <w:vAlign w:val="center"/>
            <w:hideMark/>
          </w:tcPr>
          <w:p w14:paraId="6F25C0DD"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Jun-19</w:t>
            </w:r>
          </w:p>
        </w:tc>
        <w:tc>
          <w:tcPr>
            <w:tcW w:w="6095" w:type="dxa"/>
            <w:tcBorders>
              <w:top w:val="nil"/>
              <w:left w:val="nil"/>
              <w:bottom w:val="single" w:sz="4" w:space="0" w:color="auto"/>
              <w:right w:val="single" w:sz="4" w:space="0" w:color="auto"/>
            </w:tcBorders>
            <w:shd w:val="clear" w:color="auto" w:fill="auto"/>
            <w:vAlign w:val="center"/>
            <w:hideMark/>
          </w:tcPr>
          <w:p w14:paraId="1664BF18"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Learning Directorate</w:t>
            </w:r>
          </w:p>
        </w:tc>
        <w:tc>
          <w:tcPr>
            <w:tcW w:w="2471" w:type="dxa"/>
            <w:tcBorders>
              <w:top w:val="nil"/>
              <w:left w:val="nil"/>
              <w:bottom w:val="single" w:sz="4" w:space="0" w:color="auto"/>
              <w:right w:val="single" w:sz="4" w:space="0" w:color="auto"/>
            </w:tcBorders>
          </w:tcPr>
          <w:p w14:paraId="3DA61FCA" w14:textId="77777777" w:rsidR="008477B8" w:rsidRPr="00B70107" w:rsidRDefault="00F1041F" w:rsidP="008477B8">
            <w:hyperlink r:id="rId56" w:history="1">
              <w:r w:rsidR="008477B8" w:rsidRPr="00B70107">
                <w:rPr>
                  <w:u w:val="single"/>
                </w:rPr>
                <w:t>Link</w:t>
              </w:r>
            </w:hyperlink>
          </w:p>
          <w:p w14:paraId="0D27D17D" w14:textId="7C28671C" w:rsidR="008477B8" w:rsidRPr="00B70107" w:rsidRDefault="00137ED2" w:rsidP="008477B8">
            <w:pPr>
              <w:spacing w:after="0" w:line="240" w:lineRule="auto"/>
              <w:rPr>
                <w:rFonts w:ascii="Calibri" w:eastAsia="Times New Roman" w:hAnsi="Calibri" w:cs="Times New Roman"/>
                <w:sz w:val="24"/>
                <w:szCs w:val="24"/>
                <w:lang w:eastAsia="en-GB"/>
              </w:rPr>
            </w:pPr>
            <w:r w:rsidRPr="00B70107">
              <w:t>Limited mention of</w:t>
            </w:r>
            <w:r w:rsidR="008477B8" w:rsidRPr="00B70107">
              <w:t xml:space="preserve"> PA but by keeping attendance high, opportunities for PA are arguably higher.</w:t>
            </w:r>
          </w:p>
        </w:tc>
      </w:tr>
      <w:tr w:rsidR="008477B8" w:rsidRPr="00B70107" w14:paraId="11EE76AE" w14:textId="77777777" w:rsidTr="00137ED2">
        <w:trPr>
          <w:trHeight w:val="97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4D35D4"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10</w:t>
            </w:r>
          </w:p>
        </w:tc>
        <w:tc>
          <w:tcPr>
            <w:tcW w:w="3260" w:type="dxa"/>
            <w:tcBorders>
              <w:top w:val="nil"/>
              <w:left w:val="nil"/>
              <w:bottom w:val="single" w:sz="4" w:space="0" w:color="auto"/>
              <w:right w:val="single" w:sz="4" w:space="0" w:color="auto"/>
            </w:tcBorders>
            <w:shd w:val="clear" w:color="auto" w:fill="auto"/>
            <w:vAlign w:val="center"/>
            <w:hideMark/>
          </w:tcPr>
          <w:p w14:paraId="6B16F715"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Protecting Scotland’s Future: The Government’s Programme for Scotland 2019-20</w:t>
            </w:r>
          </w:p>
        </w:tc>
        <w:tc>
          <w:tcPr>
            <w:tcW w:w="1276" w:type="dxa"/>
            <w:tcBorders>
              <w:top w:val="nil"/>
              <w:left w:val="nil"/>
              <w:bottom w:val="single" w:sz="4" w:space="0" w:color="auto"/>
              <w:right w:val="single" w:sz="4" w:space="0" w:color="auto"/>
            </w:tcBorders>
            <w:shd w:val="clear" w:color="auto" w:fill="auto"/>
            <w:noWrap/>
            <w:vAlign w:val="center"/>
            <w:hideMark/>
          </w:tcPr>
          <w:p w14:paraId="6B11BE23"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Sep-19</w:t>
            </w:r>
          </w:p>
        </w:tc>
        <w:tc>
          <w:tcPr>
            <w:tcW w:w="6095" w:type="dxa"/>
            <w:tcBorders>
              <w:top w:val="nil"/>
              <w:left w:val="nil"/>
              <w:bottom w:val="single" w:sz="4" w:space="0" w:color="auto"/>
              <w:right w:val="single" w:sz="4" w:space="0" w:color="auto"/>
            </w:tcBorders>
            <w:shd w:val="clear" w:color="auto" w:fill="auto"/>
            <w:vAlign w:val="center"/>
            <w:hideMark/>
          </w:tcPr>
          <w:p w14:paraId="22B838EE"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Constitution and Cabinet Directorate</w:t>
            </w:r>
          </w:p>
        </w:tc>
        <w:tc>
          <w:tcPr>
            <w:tcW w:w="2471" w:type="dxa"/>
            <w:tcBorders>
              <w:top w:val="nil"/>
              <w:left w:val="nil"/>
              <w:bottom w:val="single" w:sz="4" w:space="0" w:color="auto"/>
              <w:right w:val="single" w:sz="4" w:space="0" w:color="auto"/>
            </w:tcBorders>
          </w:tcPr>
          <w:p w14:paraId="49E814D7" w14:textId="0F82612C" w:rsidR="008477B8" w:rsidRPr="00B70107" w:rsidRDefault="00F1041F" w:rsidP="008477B8">
            <w:pPr>
              <w:spacing w:after="0" w:line="240" w:lineRule="auto"/>
              <w:rPr>
                <w:rFonts w:ascii="Calibri" w:eastAsia="Times New Roman" w:hAnsi="Calibri" w:cs="Times New Roman"/>
                <w:sz w:val="24"/>
                <w:szCs w:val="24"/>
                <w:lang w:eastAsia="en-GB"/>
              </w:rPr>
            </w:pPr>
            <w:hyperlink r:id="rId57" w:history="1">
              <w:r w:rsidR="008477B8" w:rsidRPr="00B70107">
                <w:rPr>
                  <w:u w:val="single"/>
                </w:rPr>
                <w:t>Link</w:t>
              </w:r>
            </w:hyperlink>
          </w:p>
        </w:tc>
      </w:tr>
      <w:tr w:rsidR="008477B8" w:rsidRPr="00B70107" w14:paraId="6EAFDD0F" w14:textId="77777777" w:rsidTr="00137ED2">
        <w:trPr>
          <w:trHeight w:val="104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B9D9C0"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11</w:t>
            </w:r>
          </w:p>
        </w:tc>
        <w:tc>
          <w:tcPr>
            <w:tcW w:w="3260" w:type="dxa"/>
            <w:tcBorders>
              <w:top w:val="nil"/>
              <w:left w:val="nil"/>
              <w:bottom w:val="single" w:sz="4" w:space="0" w:color="auto"/>
              <w:right w:val="single" w:sz="4" w:space="0" w:color="auto"/>
            </w:tcBorders>
            <w:shd w:val="clear" w:color="auto" w:fill="auto"/>
            <w:vAlign w:val="center"/>
            <w:hideMark/>
          </w:tcPr>
          <w:p w14:paraId="29E375A4"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Scotland and the Sustainable Development Goals: A national review to drive action</w:t>
            </w:r>
          </w:p>
        </w:tc>
        <w:tc>
          <w:tcPr>
            <w:tcW w:w="1276" w:type="dxa"/>
            <w:tcBorders>
              <w:top w:val="nil"/>
              <w:left w:val="nil"/>
              <w:bottom w:val="single" w:sz="4" w:space="0" w:color="auto"/>
              <w:right w:val="single" w:sz="4" w:space="0" w:color="auto"/>
            </w:tcBorders>
            <w:shd w:val="clear" w:color="auto" w:fill="auto"/>
            <w:noWrap/>
            <w:vAlign w:val="center"/>
            <w:hideMark/>
          </w:tcPr>
          <w:p w14:paraId="1624D4B8"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Jul-20</w:t>
            </w:r>
          </w:p>
        </w:tc>
        <w:tc>
          <w:tcPr>
            <w:tcW w:w="6095" w:type="dxa"/>
            <w:tcBorders>
              <w:top w:val="nil"/>
              <w:left w:val="nil"/>
              <w:bottom w:val="single" w:sz="4" w:space="0" w:color="auto"/>
              <w:right w:val="single" w:sz="4" w:space="0" w:color="auto"/>
            </w:tcBorders>
            <w:shd w:val="clear" w:color="auto" w:fill="auto"/>
            <w:vAlign w:val="center"/>
            <w:hideMark/>
          </w:tcPr>
          <w:p w14:paraId="1E015CE7"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Performance and Strategic Outcomes Directorate</w:t>
            </w:r>
          </w:p>
        </w:tc>
        <w:tc>
          <w:tcPr>
            <w:tcW w:w="2471" w:type="dxa"/>
            <w:tcBorders>
              <w:top w:val="nil"/>
              <w:left w:val="nil"/>
              <w:bottom w:val="single" w:sz="4" w:space="0" w:color="auto"/>
              <w:right w:val="single" w:sz="4" w:space="0" w:color="auto"/>
            </w:tcBorders>
          </w:tcPr>
          <w:p w14:paraId="17D696B3" w14:textId="77777777" w:rsidR="008477B8" w:rsidRPr="00B70107" w:rsidRDefault="00F1041F" w:rsidP="008477B8">
            <w:hyperlink r:id="rId58" w:history="1">
              <w:r w:rsidR="008477B8" w:rsidRPr="00B70107">
                <w:rPr>
                  <w:u w:val="single"/>
                </w:rPr>
                <w:t>Link</w:t>
              </w:r>
            </w:hyperlink>
          </w:p>
          <w:p w14:paraId="77ACD894" w14:textId="1125F744" w:rsidR="008477B8" w:rsidRPr="00B70107" w:rsidRDefault="00137ED2" w:rsidP="008477B8">
            <w:pPr>
              <w:spacing w:after="0" w:line="240" w:lineRule="auto"/>
              <w:rPr>
                <w:rFonts w:ascii="Calibri" w:eastAsia="Times New Roman" w:hAnsi="Calibri" w:cs="Times New Roman"/>
                <w:sz w:val="24"/>
                <w:szCs w:val="24"/>
                <w:lang w:eastAsia="en-GB"/>
              </w:rPr>
            </w:pPr>
            <w:r w:rsidRPr="00B70107">
              <w:t>I</w:t>
            </w:r>
            <w:r w:rsidR="008477B8" w:rsidRPr="00B70107">
              <w:t xml:space="preserve">n this document there is mention that diet and PA both play a role in mental health (p40) but little connection is made between PA and mental health in </w:t>
            </w:r>
            <w:r w:rsidRPr="00B70107">
              <w:t xml:space="preserve">other </w:t>
            </w:r>
            <w:r w:rsidR="008477B8" w:rsidRPr="00B70107">
              <w:t>Scot Gov policy.</w:t>
            </w:r>
          </w:p>
        </w:tc>
      </w:tr>
      <w:tr w:rsidR="008477B8" w:rsidRPr="00B70107" w14:paraId="38EF1849" w14:textId="77777777" w:rsidTr="00137ED2">
        <w:trPr>
          <w:trHeight w:val="17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1B0624"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12</w:t>
            </w:r>
          </w:p>
        </w:tc>
        <w:tc>
          <w:tcPr>
            <w:tcW w:w="3260" w:type="dxa"/>
            <w:tcBorders>
              <w:top w:val="nil"/>
              <w:left w:val="nil"/>
              <w:bottom w:val="single" w:sz="4" w:space="0" w:color="auto"/>
              <w:right w:val="single" w:sz="4" w:space="0" w:color="auto"/>
            </w:tcBorders>
            <w:shd w:val="clear" w:color="auto" w:fill="auto"/>
            <w:vAlign w:val="center"/>
            <w:hideMark/>
          </w:tcPr>
          <w:p w14:paraId="39C7717D"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Let’s get Scotland Walking:  The National Walking Strategy, Action Plan 2016-2026 (note: 2 PDFs, most recent plan is a revised action plan)</w:t>
            </w:r>
          </w:p>
        </w:tc>
        <w:tc>
          <w:tcPr>
            <w:tcW w:w="1276" w:type="dxa"/>
            <w:tcBorders>
              <w:top w:val="nil"/>
              <w:left w:val="nil"/>
              <w:bottom w:val="single" w:sz="4" w:space="0" w:color="auto"/>
              <w:right w:val="single" w:sz="4" w:space="0" w:color="auto"/>
            </w:tcBorders>
            <w:shd w:val="clear" w:color="auto" w:fill="auto"/>
            <w:noWrap/>
            <w:vAlign w:val="center"/>
            <w:hideMark/>
          </w:tcPr>
          <w:p w14:paraId="33599D28"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Mar-19</w:t>
            </w:r>
          </w:p>
        </w:tc>
        <w:tc>
          <w:tcPr>
            <w:tcW w:w="6095" w:type="dxa"/>
            <w:tcBorders>
              <w:top w:val="nil"/>
              <w:left w:val="nil"/>
              <w:bottom w:val="single" w:sz="4" w:space="0" w:color="auto"/>
              <w:right w:val="single" w:sz="4" w:space="0" w:color="auto"/>
            </w:tcBorders>
            <w:shd w:val="clear" w:color="auto" w:fill="auto"/>
            <w:vAlign w:val="center"/>
            <w:hideMark/>
          </w:tcPr>
          <w:p w14:paraId="0FEECBB8"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Community Health and Social Care Directorate</w:t>
            </w:r>
          </w:p>
        </w:tc>
        <w:tc>
          <w:tcPr>
            <w:tcW w:w="2471" w:type="dxa"/>
            <w:tcBorders>
              <w:top w:val="nil"/>
              <w:left w:val="nil"/>
              <w:bottom w:val="single" w:sz="4" w:space="0" w:color="auto"/>
              <w:right w:val="single" w:sz="4" w:space="0" w:color="auto"/>
            </w:tcBorders>
          </w:tcPr>
          <w:p w14:paraId="6A36A871" w14:textId="665166BF" w:rsidR="008477B8" w:rsidRPr="00B70107" w:rsidRDefault="00F1041F" w:rsidP="008477B8">
            <w:pPr>
              <w:spacing w:after="0" w:line="240" w:lineRule="auto"/>
              <w:rPr>
                <w:rFonts w:ascii="Calibri" w:eastAsia="Times New Roman" w:hAnsi="Calibri" w:cs="Times New Roman"/>
                <w:sz w:val="24"/>
                <w:szCs w:val="24"/>
                <w:lang w:eastAsia="en-GB"/>
              </w:rPr>
            </w:pPr>
            <w:hyperlink r:id="rId59" w:history="1">
              <w:r w:rsidR="008477B8" w:rsidRPr="00B70107">
                <w:rPr>
                  <w:u w:val="single"/>
                </w:rPr>
                <w:t>Link</w:t>
              </w:r>
            </w:hyperlink>
          </w:p>
        </w:tc>
      </w:tr>
      <w:tr w:rsidR="008477B8" w:rsidRPr="00B70107" w14:paraId="41408606" w14:textId="77777777" w:rsidTr="00137ED2">
        <w:trPr>
          <w:trHeight w:val="55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2A1910"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13</w:t>
            </w:r>
          </w:p>
        </w:tc>
        <w:tc>
          <w:tcPr>
            <w:tcW w:w="3260" w:type="dxa"/>
            <w:tcBorders>
              <w:top w:val="nil"/>
              <w:left w:val="nil"/>
              <w:bottom w:val="single" w:sz="4" w:space="0" w:color="auto"/>
              <w:right w:val="single" w:sz="4" w:space="0" w:color="auto"/>
            </w:tcBorders>
            <w:shd w:val="clear" w:color="auto" w:fill="auto"/>
            <w:vAlign w:val="center"/>
            <w:hideMark/>
          </w:tcPr>
          <w:p w14:paraId="42104FDB"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Active Scotland Delivery Plan (note the committee for stakeholder list)</w:t>
            </w:r>
          </w:p>
        </w:tc>
        <w:tc>
          <w:tcPr>
            <w:tcW w:w="1276" w:type="dxa"/>
            <w:tcBorders>
              <w:top w:val="nil"/>
              <w:left w:val="nil"/>
              <w:bottom w:val="single" w:sz="4" w:space="0" w:color="auto"/>
              <w:right w:val="single" w:sz="4" w:space="0" w:color="auto"/>
            </w:tcBorders>
            <w:shd w:val="clear" w:color="auto" w:fill="auto"/>
            <w:noWrap/>
            <w:vAlign w:val="center"/>
            <w:hideMark/>
          </w:tcPr>
          <w:p w14:paraId="06D4649F"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Jul-18</w:t>
            </w:r>
          </w:p>
        </w:tc>
        <w:tc>
          <w:tcPr>
            <w:tcW w:w="6095" w:type="dxa"/>
            <w:tcBorders>
              <w:top w:val="nil"/>
              <w:left w:val="nil"/>
              <w:bottom w:val="single" w:sz="4" w:space="0" w:color="auto"/>
              <w:right w:val="single" w:sz="4" w:space="0" w:color="auto"/>
            </w:tcBorders>
            <w:shd w:val="clear" w:color="auto" w:fill="auto"/>
            <w:vAlign w:val="center"/>
            <w:hideMark/>
          </w:tcPr>
          <w:p w14:paraId="1D24D5FF"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Community Health and Social Care Directorate</w:t>
            </w:r>
          </w:p>
        </w:tc>
        <w:tc>
          <w:tcPr>
            <w:tcW w:w="2471" w:type="dxa"/>
            <w:tcBorders>
              <w:top w:val="nil"/>
              <w:left w:val="nil"/>
              <w:bottom w:val="single" w:sz="4" w:space="0" w:color="auto"/>
              <w:right w:val="single" w:sz="4" w:space="0" w:color="auto"/>
            </w:tcBorders>
          </w:tcPr>
          <w:p w14:paraId="7A9C4A3A" w14:textId="5BDF9C6E" w:rsidR="008477B8" w:rsidRPr="00B70107" w:rsidRDefault="00F1041F" w:rsidP="008477B8">
            <w:pPr>
              <w:spacing w:after="0" w:line="240" w:lineRule="auto"/>
              <w:rPr>
                <w:rFonts w:ascii="Calibri" w:eastAsia="Times New Roman" w:hAnsi="Calibri" w:cs="Times New Roman"/>
                <w:sz w:val="24"/>
                <w:szCs w:val="24"/>
                <w:lang w:eastAsia="en-GB"/>
              </w:rPr>
            </w:pPr>
            <w:hyperlink r:id="rId60" w:history="1">
              <w:r w:rsidR="008477B8" w:rsidRPr="00B70107">
                <w:rPr>
                  <w:u w:val="single"/>
                </w:rPr>
                <w:t>Link</w:t>
              </w:r>
            </w:hyperlink>
          </w:p>
        </w:tc>
      </w:tr>
      <w:tr w:rsidR="008477B8" w:rsidRPr="00B70107" w14:paraId="7BE3BBB0" w14:textId="77777777" w:rsidTr="00137ED2">
        <w:trPr>
          <w:trHeight w:val="84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E2C46D"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14</w:t>
            </w:r>
          </w:p>
        </w:tc>
        <w:tc>
          <w:tcPr>
            <w:tcW w:w="3260" w:type="dxa"/>
            <w:tcBorders>
              <w:top w:val="nil"/>
              <w:left w:val="nil"/>
              <w:bottom w:val="single" w:sz="4" w:space="0" w:color="auto"/>
              <w:right w:val="single" w:sz="4" w:space="0" w:color="auto"/>
            </w:tcBorders>
            <w:shd w:val="clear" w:color="auto" w:fill="auto"/>
            <w:vAlign w:val="center"/>
            <w:hideMark/>
          </w:tcPr>
          <w:p w14:paraId="5B963D99"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Cycling Action Plan for Scotland 2017-2020</w:t>
            </w:r>
          </w:p>
        </w:tc>
        <w:tc>
          <w:tcPr>
            <w:tcW w:w="1276" w:type="dxa"/>
            <w:tcBorders>
              <w:top w:val="nil"/>
              <w:left w:val="nil"/>
              <w:bottom w:val="single" w:sz="4" w:space="0" w:color="auto"/>
              <w:right w:val="single" w:sz="4" w:space="0" w:color="auto"/>
            </w:tcBorders>
            <w:shd w:val="clear" w:color="auto" w:fill="auto"/>
            <w:noWrap/>
            <w:vAlign w:val="center"/>
            <w:hideMark/>
          </w:tcPr>
          <w:p w14:paraId="2DC5F2AC"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Jan-17</w:t>
            </w:r>
          </w:p>
        </w:tc>
        <w:tc>
          <w:tcPr>
            <w:tcW w:w="6095" w:type="dxa"/>
            <w:tcBorders>
              <w:top w:val="nil"/>
              <w:left w:val="nil"/>
              <w:bottom w:val="single" w:sz="4" w:space="0" w:color="auto"/>
              <w:right w:val="single" w:sz="4" w:space="0" w:color="auto"/>
            </w:tcBorders>
            <w:shd w:val="clear" w:color="auto" w:fill="auto"/>
            <w:vAlign w:val="center"/>
            <w:hideMark/>
          </w:tcPr>
          <w:p w14:paraId="1DFB6D07"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NO DIRECTORATE; see https://www.transport.gov.scot/publication/cycling-action-plan-for-scotland-2017-2020/</w:t>
            </w:r>
          </w:p>
        </w:tc>
        <w:tc>
          <w:tcPr>
            <w:tcW w:w="2471" w:type="dxa"/>
            <w:tcBorders>
              <w:top w:val="nil"/>
              <w:left w:val="nil"/>
              <w:bottom w:val="single" w:sz="4" w:space="0" w:color="auto"/>
              <w:right w:val="single" w:sz="4" w:space="0" w:color="auto"/>
            </w:tcBorders>
          </w:tcPr>
          <w:p w14:paraId="2C810925" w14:textId="77777777" w:rsidR="008477B8" w:rsidRPr="00B70107" w:rsidRDefault="008477B8" w:rsidP="008477B8">
            <w:r w:rsidRPr="00B70107">
              <w:t>(</w:t>
            </w:r>
            <w:hyperlink r:id="rId61" w:history="1">
              <w:r w:rsidRPr="00B70107">
                <w:rPr>
                  <w:u w:val="single"/>
                </w:rPr>
                <w:t>link</w:t>
              </w:r>
            </w:hyperlink>
            <w:r w:rsidRPr="00B70107">
              <w:t>)</w:t>
            </w:r>
          </w:p>
          <w:p w14:paraId="04D675F1" w14:textId="163BA955" w:rsidR="008477B8" w:rsidRPr="00B70107" w:rsidRDefault="008477B8" w:rsidP="008477B8">
            <w:pPr>
              <w:spacing w:after="0" w:line="240" w:lineRule="auto"/>
              <w:rPr>
                <w:rFonts w:ascii="Calibri" w:eastAsia="Times New Roman" w:hAnsi="Calibri" w:cs="Times New Roman"/>
                <w:sz w:val="24"/>
                <w:szCs w:val="24"/>
                <w:lang w:eastAsia="en-GB"/>
              </w:rPr>
            </w:pPr>
          </w:p>
        </w:tc>
      </w:tr>
      <w:tr w:rsidR="008477B8" w:rsidRPr="00B70107" w14:paraId="0D0F2377" w14:textId="77777777" w:rsidTr="00137ED2">
        <w:trPr>
          <w:trHeight w:val="10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AD4B3CA"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15</w:t>
            </w:r>
          </w:p>
        </w:tc>
        <w:tc>
          <w:tcPr>
            <w:tcW w:w="3260" w:type="dxa"/>
            <w:tcBorders>
              <w:top w:val="nil"/>
              <w:left w:val="nil"/>
              <w:bottom w:val="single" w:sz="4" w:space="0" w:color="auto"/>
              <w:right w:val="single" w:sz="4" w:space="0" w:color="auto"/>
            </w:tcBorders>
            <w:shd w:val="clear" w:color="auto" w:fill="auto"/>
            <w:vAlign w:val="bottom"/>
            <w:hideMark/>
          </w:tcPr>
          <w:p w14:paraId="4D0247F0"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Sport for Life: A Vision for Scotland (note: 2 PDFs, one is a consultation report published in Feb 2019)</w:t>
            </w:r>
          </w:p>
        </w:tc>
        <w:tc>
          <w:tcPr>
            <w:tcW w:w="1276" w:type="dxa"/>
            <w:tcBorders>
              <w:top w:val="nil"/>
              <w:left w:val="nil"/>
              <w:bottom w:val="single" w:sz="4" w:space="0" w:color="auto"/>
              <w:right w:val="single" w:sz="4" w:space="0" w:color="auto"/>
            </w:tcBorders>
            <w:shd w:val="clear" w:color="auto" w:fill="auto"/>
            <w:noWrap/>
            <w:vAlign w:val="bottom"/>
            <w:hideMark/>
          </w:tcPr>
          <w:p w14:paraId="6B8EB041"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Apr-19</w:t>
            </w:r>
          </w:p>
        </w:tc>
        <w:tc>
          <w:tcPr>
            <w:tcW w:w="6095" w:type="dxa"/>
            <w:tcBorders>
              <w:top w:val="nil"/>
              <w:left w:val="nil"/>
              <w:bottom w:val="single" w:sz="4" w:space="0" w:color="auto"/>
              <w:right w:val="single" w:sz="4" w:space="0" w:color="auto"/>
            </w:tcBorders>
            <w:shd w:val="clear" w:color="auto" w:fill="auto"/>
            <w:vAlign w:val="bottom"/>
            <w:hideMark/>
          </w:tcPr>
          <w:p w14:paraId="5C0CA74C"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NO DIRECTORATE; see https://sportscotland.org.uk/about-us/sport-for-life/</w:t>
            </w:r>
          </w:p>
        </w:tc>
        <w:tc>
          <w:tcPr>
            <w:tcW w:w="2471" w:type="dxa"/>
            <w:tcBorders>
              <w:top w:val="nil"/>
              <w:left w:val="nil"/>
              <w:bottom w:val="single" w:sz="4" w:space="0" w:color="auto"/>
              <w:right w:val="single" w:sz="4" w:space="0" w:color="auto"/>
            </w:tcBorders>
          </w:tcPr>
          <w:p w14:paraId="24ACDE13" w14:textId="155AD91E" w:rsidR="008477B8" w:rsidRPr="00B70107" w:rsidRDefault="008477B8" w:rsidP="008477B8">
            <w:pPr>
              <w:spacing w:after="0" w:line="240" w:lineRule="auto"/>
              <w:rPr>
                <w:rFonts w:ascii="Calibri" w:eastAsia="Times New Roman" w:hAnsi="Calibri" w:cs="Times New Roman"/>
                <w:sz w:val="24"/>
                <w:szCs w:val="24"/>
                <w:lang w:eastAsia="en-GB"/>
              </w:rPr>
            </w:pPr>
            <w:r w:rsidRPr="00B70107">
              <w:t>(</w:t>
            </w:r>
            <w:hyperlink r:id="rId62" w:history="1">
              <w:r w:rsidRPr="00B70107">
                <w:rPr>
                  <w:u w:val="single"/>
                </w:rPr>
                <w:t>link</w:t>
              </w:r>
            </w:hyperlink>
            <w:r w:rsidRPr="00B70107">
              <w:t>)</w:t>
            </w:r>
          </w:p>
        </w:tc>
      </w:tr>
      <w:tr w:rsidR="008477B8" w:rsidRPr="00B70107" w14:paraId="2CDAD254" w14:textId="77777777" w:rsidTr="00137ED2">
        <w:trPr>
          <w:trHeight w:val="105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1D567C"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16</w:t>
            </w:r>
          </w:p>
        </w:tc>
        <w:tc>
          <w:tcPr>
            <w:tcW w:w="3260" w:type="dxa"/>
            <w:tcBorders>
              <w:top w:val="nil"/>
              <w:left w:val="nil"/>
              <w:bottom w:val="single" w:sz="4" w:space="0" w:color="auto"/>
              <w:right w:val="single" w:sz="4" w:space="0" w:color="auto"/>
            </w:tcBorders>
            <w:shd w:val="clear" w:color="auto" w:fill="auto"/>
            <w:vAlign w:val="center"/>
            <w:hideMark/>
          </w:tcPr>
          <w:p w14:paraId="7A8BA730"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Play Strategy (note: 2 PDFs, one is a progress report published in 2020)</w:t>
            </w:r>
          </w:p>
        </w:tc>
        <w:tc>
          <w:tcPr>
            <w:tcW w:w="1276" w:type="dxa"/>
            <w:tcBorders>
              <w:top w:val="nil"/>
              <w:left w:val="nil"/>
              <w:bottom w:val="single" w:sz="4" w:space="0" w:color="auto"/>
              <w:right w:val="single" w:sz="4" w:space="0" w:color="auto"/>
            </w:tcBorders>
            <w:shd w:val="clear" w:color="auto" w:fill="auto"/>
            <w:noWrap/>
            <w:vAlign w:val="center"/>
            <w:hideMark/>
          </w:tcPr>
          <w:p w14:paraId="5A99DBF7"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Oct-13</w:t>
            </w:r>
          </w:p>
        </w:tc>
        <w:tc>
          <w:tcPr>
            <w:tcW w:w="6095" w:type="dxa"/>
            <w:tcBorders>
              <w:top w:val="nil"/>
              <w:left w:val="nil"/>
              <w:bottom w:val="single" w:sz="4" w:space="0" w:color="auto"/>
              <w:right w:val="single" w:sz="4" w:space="0" w:color="auto"/>
            </w:tcBorders>
            <w:shd w:val="clear" w:color="auto" w:fill="auto"/>
            <w:vAlign w:val="center"/>
            <w:hideMark/>
          </w:tcPr>
          <w:p w14:paraId="5B987290"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Children and Families Directorate</w:t>
            </w:r>
          </w:p>
        </w:tc>
        <w:tc>
          <w:tcPr>
            <w:tcW w:w="2471" w:type="dxa"/>
            <w:tcBorders>
              <w:top w:val="nil"/>
              <w:left w:val="nil"/>
              <w:bottom w:val="single" w:sz="4" w:space="0" w:color="auto"/>
              <w:right w:val="single" w:sz="4" w:space="0" w:color="auto"/>
            </w:tcBorders>
          </w:tcPr>
          <w:p w14:paraId="5948208D" w14:textId="77777777" w:rsidR="008477B8" w:rsidRPr="00B70107" w:rsidRDefault="008477B8" w:rsidP="008477B8">
            <w:r w:rsidRPr="00B70107">
              <w:t>(</w:t>
            </w:r>
            <w:hyperlink r:id="rId63" w:history="1">
              <w:r w:rsidRPr="00B70107">
                <w:rPr>
                  <w:u w:val="single"/>
                </w:rPr>
                <w:t>link</w:t>
              </w:r>
            </w:hyperlink>
            <w:r w:rsidRPr="00B70107">
              <w:t>)</w:t>
            </w:r>
          </w:p>
          <w:p w14:paraId="4CFB5B78" w14:textId="3F159418" w:rsidR="008477B8" w:rsidRPr="00B70107" w:rsidRDefault="008477B8" w:rsidP="008477B8">
            <w:pPr>
              <w:spacing w:after="0" w:line="240" w:lineRule="auto"/>
              <w:rPr>
                <w:rFonts w:ascii="Calibri" w:eastAsia="Times New Roman" w:hAnsi="Calibri" w:cs="Times New Roman"/>
                <w:sz w:val="24"/>
                <w:szCs w:val="24"/>
                <w:lang w:eastAsia="en-GB"/>
              </w:rPr>
            </w:pPr>
            <w:r w:rsidRPr="00B70107">
              <w:t>(</w:t>
            </w:r>
            <w:hyperlink r:id="rId64" w:history="1">
              <w:r w:rsidRPr="00B70107">
                <w:rPr>
                  <w:u w:val="single"/>
                </w:rPr>
                <w:t>link to progress report</w:t>
              </w:r>
            </w:hyperlink>
            <w:r w:rsidRPr="00B70107">
              <w:t>: April 2019 – March 2020)</w:t>
            </w:r>
          </w:p>
        </w:tc>
      </w:tr>
      <w:tr w:rsidR="008477B8" w:rsidRPr="00B70107" w14:paraId="680A239E" w14:textId="77777777" w:rsidTr="00137ED2">
        <w:trPr>
          <w:trHeight w:val="112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98ACC3"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17</w:t>
            </w:r>
          </w:p>
        </w:tc>
        <w:tc>
          <w:tcPr>
            <w:tcW w:w="3260" w:type="dxa"/>
            <w:tcBorders>
              <w:top w:val="nil"/>
              <w:left w:val="nil"/>
              <w:bottom w:val="single" w:sz="4" w:space="0" w:color="auto"/>
              <w:right w:val="single" w:sz="4" w:space="0" w:color="auto"/>
            </w:tcBorders>
            <w:shd w:val="clear" w:color="auto" w:fill="auto"/>
            <w:vAlign w:val="center"/>
            <w:hideMark/>
          </w:tcPr>
          <w:p w14:paraId="11287AAE"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Obesity Route Map</w:t>
            </w:r>
          </w:p>
        </w:tc>
        <w:tc>
          <w:tcPr>
            <w:tcW w:w="1276" w:type="dxa"/>
            <w:tcBorders>
              <w:top w:val="nil"/>
              <w:left w:val="nil"/>
              <w:bottom w:val="single" w:sz="4" w:space="0" w:color="auto"/>
              <w:right w:val="single" w:sz="4" w:space="0" w:color="auto"/>
            </w:tcBorders>
            <w:shd w:val="clear" w:color="auto" w:fill="auto"/>
            <w:noWrap/>
            <w:vAlign w:val="center"/>
            <w:hideMark/>
          </w:tcPr>
          <w:p w14:paraId="58F7146A"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Mar-11</w:t>
            </w:r>
          </w:p>
        </w:tc>
        <w:tc>
          <w:tcPr>
            <w:tcW w:w="6095" w:type="dxa"/>
            <w:tcBorders>
              <w:top w:val="nil"/>
              <w:left w:val="nil"/>
              <w:bottom w:val="single" w:sz="4" w:space="0" w:color="auto"/>
              <w:right w:val="single" w:sz="4" w:space="0" w:color="auto"/>
            </w:tcBorders>
            <w:shd w:val="clear" w:color="auto" w:fill="auto"/>
            <w:vAlign w:val="center"/>
            <w:hideMark/>
          </w:tcPr>
          <w:p w14:paraId="19D710FC"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NO DIRECTORATE; see https://www.gov.scot/publications/obesity-route-map-action-plan/</w:t>
            </w:r>
          </w:p>
        </w:tc>
        <w:tc>
          <w:tcPr>
            <w:tcW w:w="2471" w:type="dxa"/>
            <w:tcBorders>
              <w:top w:val="nil"/>
              <w:left w:val="nil"/>
              <w:bottom w:val="single" w:sz="4" w:space="0" w:color="auto"/>
              <w:right w:val="single" w:sz="4" w:space="0" w:color="auto"/>
            </w:tcBorders>
          </w:tcPr>
          <w:p w14:paraId="39DF3283" w14:textId="77777777" w:rsidR="008477B8" w:rsidRPr="00B70107" w:rsidRDefault="008477B8" w:rsidP="008477B8">
            <w:r w:rsidRPr="00B70107">
              <w:t>(</w:t>
            </w:r>
            <w:hyperlink r:id="rId65" w:history="1">
              <w:r w:rsidRPr="00B70107">
                <w:rPr>
                  <w:u w:val="single"/>
                </w:rPr>
                <w:t>link</w:t>
              </w:r>
            </w:hyperlink>
            <w:r w:rsidRPr="00B70107">
              <w:t>)</w:t>
            </w:r>
          </w:p>
          <w:p w14:paraId="724FDE4B" w14:textId="42A1A49B" w:rsidR="008477B8" w:rsidRPr="00B70107" w:rsidRDefault="008477B8" w:rsidP="008477B8">
            <w:pPr>
              <w:spacing w:after="0" w:line="240" w:lineRule="auto"/>
              <w:rPr>
                <w:rFonts w:ascii="Calibri" w:eastAsia="Times New Roman" w:hAnsi="Calibri" w:cs="Times New Roman"/>
                <w:sz w:val="24"/>
                <w:szCs w:val="24"/>
                <w:lang w:eastAsia="en-GB"/>
              </w:rPr>
            </w:pPr>
            <w:r w:rsidRPr="00B70107">
              <w:t>(</w:t>
            </w:r>
            <w:hyperlink r:id="rId66" w:history="1">
              <w:r w:rsidRPr="00B70107">
                <w:rPr>
                  <w:u w:val="single"/>
                </w:rPr>
                <w:t>link to 2020 progress report</w:t>
              </w:r>
            </w:hyperlink>
            <w:r w:rsidRPr="00B70107">
              <w:t>)</w:t>
            </w:r>
          </w:p>
        </w:tc>
      </w:tr>
      <w:tr w:rsidR="008477B8" w:rsidRPr="00B70107" w14:paraId="4DC3C125" w14:textId="77777777" w:rsidTr="00137ED2">
        <w:trPr>
          <w:trHeight w:val="139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5C5B7A" w14:textId="77777777" w:rsidR="008477B8" w:rsidRPr="00B70107" w:rsidRDefault="008477B8" w:rsidP="008477B8">
            <w:pPr>
              <w:spacing w:after="0" w:line="240" w:lineRule="auto"/>
              <w:jc w:val="right"/>
              <w:rPr>
                <w:rFonts w:ascii="Calibri" w:eastAsia="Times New Roman" w:hAnsi="Calibri" w:cs="Times New Roman"/>
                <w:b/>
                <w:bCs/>
                <w:sz w:val="24"/>
                <w:szCs w:val="24"/>
                <w:lang w:eastAsia="en-GB"/>
              </w:rPr>
            </w:pPr>
            <w:r w:rsidRPr="00B70107">
              <w:rPr>
                <w:rFonts w:ascii="Calibri" w:eastAsia="Times New Roman" w:hAnsi="Calibri" w:cs="Times New Roman"/>
                <w:b/>
                <w:bCs/>
                <w:sz w:val="24"/>
                <w:szCs w:val="24"/>
                <w:lang w:eastAsia="en-GB"/>
              </w:rPr>
              <w:t>18</w:t>
            </w:r>
          </w:p>
        </w:tc>
        <w:tc>
          <w:tcPr>
            <w:tcW w:w="3260" w:type="dxa"/>
            <w:tcBorders>
              <w:top w:val="nil"/>
              <w:left w:val="nil"/>
              <w:bottom w:val="single" w:sz="4" w:space="0" w:color="auto"/>
              <w:right w:val="single" w:sz="4" w:space="0" w:color="auto"/>
            </w:tcBorders>
            <w:shd w:val="clear" w:color="auto" w:fill="auto"/>
            <w:noWrap/>
            <w:vAlign w:val="center"/>
            <w:hideMark/>
          </w:tcPr>
          <w:p w14:paraId="212E525B"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UK Chief Medical Officers' Physical Activity Guidelines</w:t>
            </w:r>
          </w:p>
        </w:tc>
        <w:tc>
          <w:tcPr>
            <w:tcW w:w="1276" w:type="dxa"/>
            <w:tcBorders>
              <w:top w:val="nil"/>
              <w:left w:val="nil"/>
              <w:bottom w:val="single" w:sz="4" w:space="0" w:color="auto"/>
              <w:right w:val="single" w:sz="4" w:space="0" w:color="auto"/>
            </w:tcBorders>
            <w:shd w:val="clear" w:color="auto" w:fill="auto"/>
            <w:noWrap/>
            <w:vAlign w:val="center"/>
            <w:hideMark/>
          </w:tcPr>
          <w:p w14:paraId="091A2A6E" w14:textId="77777777" w:rsidR="008477B8" w:rsidRPr="00B70107" w:rsidRDefault="008477B8" w:rsidP="008477B8">
            <w:pPr>
              <w:spacing w:after="0" w:line="240" w:lineRule="auto"/>
              <w:jc w:val="center"/>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Sep-19</w:t>
            </w:r>
          </w:p>
        </w:tc>
        <w:tc>
          <w:tcPr>
            <w:tcW w:w="6095" w:type="dxa"/>
            <w:tcBorders>
              <w:top w:val="nil"/>
              <w:left w:val="nil"/>
              <w:bottom w:val="single" w:sz="4" w:space="0" w:color="auto"/>
              <w:right w:val="single" w:sz="4" w:space="0" w:color="auto"/>
            </w:tcBorders>
            <w:shd w:val="clear" w:color="auto" w:fill="auto"/>
            <w:vAlign w:val="center"/>
            <w:hideMark/>
          </w:tcPr>
          <w:p w14:paraId="4BDA685F" w14:textId="77777777" w:rsidR="008477B8" w:rsidRPr="00B70107" w:rsidRDefault="008477B8"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NO DIRECTORATE; see https://assets.publishing.service.gov.uk/government/uploads/system/uploads/attachment_data/file/832868/uk-chief-medical-officers-physical-activity-guidelines.pdf</w:t>
            </w:r>
          </w:p>
        </w:tc>
        <w:tc>
          <w:tcPr>
            <w:tcW w:w="2471" w:type="dxa"/>
            <w:tcBorders>
              <w:top w:val="nil"/>
              <w:left w:val="nil"/>
              <w:bottom w:val="single" w:sz="4" w:space="0" w:color="auto"/>
              <w:right w:val="single" w:sz="4" w:space="0" w:color="auto"/>
            </w:tcBorders>
          </w:tcPr>
          <w:p w14:paraId="6530E8F9" w14:textId="2BDD021B" w:rsidR="008477B8" w:rsidRPr="00B70107" w:rsidRDefault="00137ED2" w:rsidP="008477B8">
            <w:pPr>
              <w:spacing w:after="0" w:line="240" w:lineRule="auto"/>
              <w:rPr>
                <w:rFonts w:ascii="Calibri" w:eastAsia="Times New Roman" w:hAnsi="Calibri" w:cs="Times New Roman"/>
                <w:sz w:val="24"/>
                <w:szCs w:val="24"/>
                <w:lang w:eastAsia="en-GB"/>
              </w:rPr>
            </w:pPr>
            <w:r w:rsidRPr="00B70107">
              <w:rPr>
                <w:rFonts w:ascii="Calibri" w:eastAsia="Times New Roman" w:hAnsi="Calibri" w:cs="Times New Roman"/>
                <w:sz w:val="24"/>
                <w:szCs w:val="24"/>
                <w:lang w:eastAsia="en-GB"/>
              </w:rPr>
              <w:t>CMO guidelines are UK-wide, not promoted on ScotGov website</w:t>
            </w:r>
          </w:p>
        </w:tc>
      </w:tr>
    </w:tbl>
    <w:p w14:paraId="6B65538D" w14:textId="77777777" w:rsidR="00D011F2" w:rsidRPr="00B70107" w:rsidRDefault="00D011F2" w:rsidP="00D011F2">
      <w:pPr>
        <w:rPr>
          <w:rFonts w:ascii="Calibri" w:hAnsi="Calibri" w:cs="Calibri"/>
        </w:rPr>
      </w:pPr>
    </w:p>
    <w:p w14:paraId="6DC837D8" w14:textId="77777777" w:rsidR="00CE5728" w:rsidRPr="00B70107" w:rsidRDefault="00CE5728" w:rsidP="00CE5728">
      <w:pPr>
        <w:jc w:val="center"/>
        <w:rPr>
          <w:rFonts w:ascii="Calibri" w:hAnsi="Calibri" w:cs="Calibri"/>
          <w:b/>
          <w:bCs/>
          <w:u w:val="single"/>
        </w:rPr>
      </w:pPr>
    </w:p>
    <w:p w14:paraId="03345268" w14:textId="77777777" w:rsidR="00CE5728" w:rsidRPr="00B70107" w:rsidRDefault="00CE5728" w:rsidP="00CE5728">
      <w:pPr>
        <w:jc w:val="center"/>
        <w:rPr>
          <w:rFonts w:ascii="Calibri" w:hAnsi="Calibri" w:cs="Calibri"/>
          <w:b/>
          <w:bCs/>
          <w:u w:val="single"/>
        </w:rPr>
      </w:pPr>
    </w:p>
    <w:p w14:paraId="611B77E6" w14:textId="77777777" w:rsidR="00E52543" w:rsidRPr="00EB4260" w:rsidRDefault="00E52543" w:rsidP="00E52543">
      <w:pPr>
        <w:rPr>
          <w:rFonts w:eastAsia="Times New Roman" w:cs="Times New Roman"/>
          <w:b/>
          <w:bCs/>
          <w:kern w:val="36"/>
          <w:sz w:val="28"/>
          <w:szCs w:val="28"/>
          <w:lang w:eastAsia="en-GB"/>
        </w:rPr>
      </w:pPr>
      <w:r w:rsidRPr="00EB4260">
        <w:rPr>
          <w:rFonts w:eastAsia="Times New Roman" w:cs="Times New Roman"/>
          <w:b/>
          <w:bCs/>
          <w:kern w:val="36"/>
          <w:sz w:val="28"/>
          <w:szCs w:val="28"/>
          <w:lang w:eastAsia="en-GB"/>
        </w:rPr>
        <w:t>Table 7</w:t>
      </w:r>
      <w:r>
        <w:rPr>
          <w:rFonts w:eastAsia="Times New Roman" w:cs="Times New Roman"/>
          <w:b/>
          <w:bCs/>
          <w:kern w:val="36"/>
          <w:sz w:val="28"/>
          <w:szCs w:val="28"/>
          <w:lang w:eastAsia="en-GB"/>
        </w:rPr>
        <w:t>.4</w:t>
      </w:r>
      <w:r w:rsidRPr="00EB4260">
        <w:rPr>
          <w:rFonts w:eastAsia="Times New Roman" w:cs="Times New Roman"/>
          <w:b/>
          <w:bCs/>
          <w:kern w:val="36"/>
          <w:sz w:val="28"/>
          <w:szCs w:val="28"/>
          <w:lang w:eastAsia="en-GB"/>
        </w:rPr>
        <w:t xml:space="preserve"> </w:t>
      </w:r>
      <w:r>
        <w:rPr>
          <w:rFonts w:eastAsia="Times New Roman" w:cs="Times New Roman"/>
          <w:b/>
          <w:bCs/>
          <w:kern w:val="36"/>
          <w:sz w:val="28"/>
          <w:szCs w:val="28"/>
          <w:lang w:eastAsia="en-GB"/>
        </w:rPr>
        <w:t>Scoring rubric to determine a grade for the Government Indicator (</w:t>
      </w:r>
      <w:bookmarkStart w:id="24" w:name="_Hlk72935213"/>
      <w:r>
        <w:rPr>
          <w:rFonts w:eastAsia="Times New Roman" w:cs="Times New Roman"/>
          <w:b/>
          <w:bCs/>
          <w:kern w:val="36"/>
          <w:sz w:val="28"/>
          <w:szCs w:val="28"/>
          <w:lang w:eastAsia="en-GB"/>
        </w:rPr>
        <w:t>diet and obesity</w:t>
      </w:r>
      <w:bookmarkEnd w:id="24"/>
      <w:r>
        <w:rPr>
          <w:rFonts w:eastAsia="Times New Roman" w:cs="Times New Roman"/>
          <w:b/>
          <w:bCs/>
          <w:kern w:val="36"/>
          <w:sz w:val="28"/>
          <w:szCs w:val="28"/>
          <w:lang w:eastAsia="en-GB"/>
        </w:rPr>
        <w:t>)</w:t>
      </w:r>
    </w:p>
    <w:tbl>
      <w:tblPr>
        <w:tblStyle w:val="TableGrid"/>
        <w:tblW w:w="0" w:type="auto"/>
        <w:jc w:val="center"/>
        <w:tblLook w:val="04A0" w:firstRow="1" w:lastRow="0" w:firstColumn="1" w:lastColumn="0" w:noHBand="0" w:noVBand="1"/>
      </w:tblPr>
      <w:tblGrid>
        <w:gridCol w:w="5346"/>
        <w:gridCol w:w="2682"/>
        <w:gridCol w:w="958"/>
        <w:gridCol w:w="2481"/>
        <w:gridCol w:w="959"/>
        <w:gridCol w:w="1522"/>
      </w:tblGrid>
      <w:tr w:rsidR="00E52543" w:rsidRPr="00374A2C" w14:paraId="347072DF" w14:textId="77777777" w:rsidTr="003234F5">
        <w:trPr>
          <w:jc w:val="center"/>
        </w:trPr>
        <w:tc>
          <w:tcPr>
            <w:tcW w:w="5864" w:type="dxa"/>
          </w:tcPr>
          <w:p w14:paraId="75D3A857" w14:textId="77777777" w:rsidR="00E52543" w:rsidRPr="00374A2C" w:rsidRDefault="00E52543" w:rsidP="003234F5">
            <w:pPr>
              <w:rPr>
                <w:rFonts w:ascii="Calibri" w:hAnsi="Calibri" w:cs="Calibri"/>
              </w:rPr>
            </w:pPr>
            <w:r w:rsidRPr="00374A2C">
              <w:rPr>
                <w:rFonts w:ascii="Calibri" w:hAnsi="Calibri" w:cs="Calibri"/>
              </w:rPr>
              <w:t>Criterion</w:t>
            </w:r>
          </w:p>
        </w:tc>
        <w:tc>
          <w:tcPr>
            <w:tcW w:w="2920" w:type="dxa"/>
          </w:tcPr>
          <w:p w14:paraId="53EE0020" w14:textId="77777777" w:rsidR="00E52543" w:rsidRPr="00374A2C" w:rsidRDefault="00E52543" w:rsidP="003234F5">
            <w:pPr>
              <w:jc w:val="center"/>
              <w:rPr>
                <w:rFonts w:ascii="Calibri" w:hAnsi="Calibri" w:cs="Calibri"/>
              </w:rPr>
            </w:pPr>
            <w:r w:rsidRPr="00374A2C">
              <w:rPr>
                <w:rFonts w:ascii="Calibri" w:hAnsi="Calibri" w:cs="Calibri"/>
              </w:rPr>
              <w:t>Scores</w:t>
            </w:r>
          </w:p>
        </w:tc>
        <w:tc>
          <w:tcPr>
            <w:tcW w:w="992" w:type="dxa"/>
          </w:tcPr>
          <w:p w14:paraId="6C87A277" w14:textId="77777777" w:rsidR="00E52543" w:rsidRPr="00374A2C" w:rsidRDefault="00E52543" w:rsidP="003234F5">
            <w:pPr>
              <w:rPr>
                <w:rFonts w:ascii="Calibri" w:hAnsi="Calibri" w:cs="Calibri"/>
              </w:rPr>
            </w:pPr>
          </w:p>
        </w:tc>
        <w:tc>
          <w:tcPr>
            <w:tcW w:w="2693" w:type="dxa"/>
          </w:tcPr>
          <w:p w14:paraId="2A709D14" w14:textId="77777777" w:rsidR="00E52543" w:rsidRPr="00374A2C" w:rsidRDefault="00E52543" w:rsidP="003234F5">
            <w:pPr>
              <w:rPr>
                <w:rFonts w:ascii="Calibri" w:hAnsi="Calibri" w:cs="Calibri"/>
              </w:rPr>
            </w:pPr>
          </w:p>
        </w:tc>
        <w:tc>
          <w:tcPr>
            <w:tcW w:w="993" w:type="dxa"/>
          </w:tcPr>
          <w:p w14:paraId="3D46C6D5" w14:textId="77777777" w:rsidR="00E52543" w:rsidRPr="00374A2C" w:rsidRDefault="00E52543" w:rsidP="003234F5">
            <w:pPr>
              <w:rPr>
                <w:rFonts w:ascii="Calibri" w:hAnsi="Calibri" w:cs="Calibri"/>
              </w:rPr>
            </w:pPr>
          </w:p>
        </w:tc>
        <w:tc>
          <w:tcPr>
            <w:tcW w:w="1630" w:type="dxa"/>
          </w:tcPr>
          <w:p w14:paraId="5F46A68E" w14:textId="77777777" w:rsidR="00E52543" w:rsidRPr="00374A2C" w:rsidRDefault="00E52543" w:rsidP="003234F5">
            <w:pPr>
              <w:rPr>
                <w:rFonts w:ascii="Calibri" w:hAnsi="Calibri" w:cs="Calibri"/>
              </w:rPr>
            </w:pPr>
            <w:r w:rsidRPr="00374A2C">
              <w:rPr>
                <w:rFonts w:ascii="Calibri" w:hAnsi="Calibri" w:cs="Calibri"/>
              </w:rPr>
              <w:t>Max total score</w:t>
            </w:r>
          </w:p>
        </w:tc>
      </w:tr>
      <w:tr w:rsidR="00E52543" w:rsidRPr="00374A2C" w14:paraId="3430157D" w14:textId="77777777" w:rsidTr="003234F5">
        <w:trPr>
          <w:trHeight w:val="399"/>
          <w:jc w:val="center"/>
        </w:trPr>
        <w:tc>
          <w:tcPr>
            <w:tcW w:w="5864" w:type="dxa"/>
            <w:vMerge w:val="restart"/>
          </w:tcPr>
          <w:p w14:paraId="58F3B452" w14:textId="77777777" w:rsidR="00E52543" w:rsidRPr="00374A2C" w:rsidRDefault="00E52543" w:rsidP="003234F5">
            <w:pPr>
              <w:rPr>
                <w:rFonts w:ascii="Calibri" w:hAnsi="Calibri" w:cs="Calibri"/>
                <w:b/>
                <w:bCs/>
              </w:rPr>
            </w:pPr>
            <w:r w:rsidRPr="00374A2C">
              <w:rPr>
                <w:rFonts w:ascii="Calibri" w:hAnsi="Calibri" w:cs="Calibri"/>
                <w:b/>
                <w:bCs/>
              </w:rPr>
              <w:t>Number and Breadth of Relevant Policies</w:t>
            </w:r>
          </w:p>
          <w:p w14:paraId="1859896E" w14:textId="77777777" w:rsidR="00E52543" w:rsidRPr="00374A2C" w:rsidRDefault="00E52543" w:rsidP="003234F5">
            <w:pPr>
              <w:rPr>
                <w:rFonts w:ascii="Calibri" w:hAnsi="Calibri" w:cs="Calibri"/>
              </w:rPr>
            </w:pPr>
          </w:p>
          <w:p w14:paraId="3DF9FA0F" w14:textId="77777777" w:rsidR="00E52543" w:rsidRPr="00374A2C" w:rsidRDefault="00E52543" w:rsidP="003234F5">
            <w:pPr>
              <w:rPr>
                <w:rFonts w:ascii="Calibri" w:hAnsi="Calibri" w:cs="Calibri"/>
              </w:rPr>
            </w:pPr>
            <w:r w:rsidRPr="00374A2C">
              <w:rPr>
                <w:rFonts w:ascii="Calibri" w:hAnsi="Calibri" w:cs="Calibri"/>
              </w:rPr>
              <w:t xml:space="preserve">Policies/ strategies/ action plans that reference </w:t>
            </w:r>
            <w:r>
              <w:rPr>
                <w:rFonts w:ascii="Calibri" w:hAnsi="Calibri" w:cs="Calibri"/>
              </w:rPr>
              <w:t>diet or obesity</w:t>
            </w:r>
            <w:r w:rsidRPr="00374A2C">
              <w:rPr>
                <w:rFonts w:ascii="Calibri" w:hAnsi="Calibri" w:cs="Calibri"/>
              </w:rPr>
              <w:t>.</w:t>
            </w:r>
          </w:p>
        </w:tc>
        <w:tc>
          <w:tcPr>
            <w:tcW w:w="2920" w:type="dxa"/>
          </w:tcPr>
          <w:p w14:paraId="39FAD4A9" w14:textId="77777777" w:rsidR="00E52543" w:rsidRPr="00374A2C" w:rsidRDefault="00E52543" w:rsidP="003234F5">
            <w:pPr>
              <w:pStyle w:val="NormalWeb"/>
              <w:shd w:val="clear" w:color="auto" w:fill="FFFFFF"/>
              <w:jc w:val="center"/>
              <w:rPr>
                <w:rFonts w:ascii="Calibri" w:hAnsi="Calibri" w:cs="Calibri"/>
                <w:sz w:val="22"/>
                <w:szCs w:val="22"/>
              </w:rPr>
            </w:pPr>
            <w:r w:rsidRPr="00374A2C">
              <w:rPr>
                <w:rFonts w:ascii="Calibri" w:hAnsi="Calibri" w:cs="Calibri"/>
                <w:b/>
                <w:bCs/>
                <w:sz w:val="22"/>
                <w:szCs w:val="22"/>
              </w:rPr>
              <w:t>Policy Number</w:t>
            </w:r>
          </w:p>
        </w:tc>
        <w:tc>
          <w:tcPr>
            <w:tcW w:w="992" w:type="dxa"/>
          </w:tcPr>
          <w:p w14:paraId="66BD2E9C" w14:textId="77777777" w:rsidR="00E52543" w:rsidRPr="00374A2C" w:rsidRDefault="00E52543" w:rsidP="003234F5">
            <w:pPr>
              <w:jc w:val="center"/>
              <w:rPr>
                <w:rFonts w:ascii="Calibri" w:hAnsi="Calibri" w:cs="Calibri"/>
              </w:rPr>
            </w:pPr>
            <w:r w:rsidRPr="00374A2C">
              <w:rPr>
                <w:rFonts w:ascii="Calibri" w:hAnsi="Calibri" w:cs="Calibri"/>
              </w:rPr>
              <w:t>Score</w:t>
            </w:r>
          </w:p>
        </w:tc>
        <w:tc>
          <w:tcPr>
            <w:tcW w:w="2693" w:type="dxa"/>
          </w:tcPr>
          <w:p w14:paraId="02B20100" w14:textId="77777777" w:rsidR="00E52543" w:rsidRPr="00374A2C" w:rsidRDefault="00E52543" w:rsidP="003234F5">
            <w:pPr>
              <w:pStyle w:val="NormalWeb"/>
              <w:shd w:val="clear" w:color="auto" w:fill="FFFFFF"/>
              <w:jc w:val="center"/>
              <w:rPr>
                <w:rFonts w:ascii="Calibri" w:hAnsi="Calibri" w:cs="Calibri"/>
                <w:sz w:val="22"/>
                <w:szCs w:val="22"/>
              </w:rPr>
            </w:pPr>
            <w:r w:rsidRPr="00374A2C">
              <w:rPr>
                <w:rFonts w:ascii="Calibri" w:hAnsi="Calibri" w:cs="Calibri"/>
                <w:b/>
                <w:bCs/>
                <w:sz w:val="22"/>
                <w:szCs w:val="22"/>
              </w:rPr>
              <w:t>Policy Breadth (No. of Sectors)</w:t>
            </w:r>
          </w:p>
        </w:tc>
        <w:tc>
          <w:tcPr>
            <w:tcW w:w="993" w:type="dxa"/>
          </w:tcPr>
          <w:p w14:paraId="01DD06D0" w14:textId="77777777" w:rsidR="00E52543" w:rsidRPr="00374A2C" w:rsidRDefault="00E52543" w:rsidP="003234F5">
            <w:pPr>
              <w:jc w:val="center"/>
              <w:rPr>
                <w:rFonts w:ascii="Calibri" w:hAnsi="Calibri" w:cs="Calibri"/>
              </w:rPr>
            </w:pPr>
            <w:r w:rsidRPr="00374A2C">
              <w:rPr>
                <w:rFonts w:ascii="Calibri" w:hAnsi="Calibri" w:cs="Calibri"/>
              </w:rPr>
              <w:t>Score</w:t>
            </w:r>
          </w:p>
        </w:tc>
        <w:tc>
          <w:tcPr>
            <w:tcW w:w="1630" w:type="dxa"/>
            <w:vMerge w:val="restart"/>
          </w:tcPr>
          <w:p w14:paraId="175B1AAE" w14:textId="77777777" w:rsidR="00E52543" w:rsidRPr="00BD0171" w:rsidRDefault="00E52543" w:rsidP="003234F5">
            <w:pPr>
              <w:jc w:val="center"/>
              <w:rPr>
                <w:rFonts w:ascii="Calibri" w:hAnsi="Calibri" w:cs="Calibri"/>
              </w:rPr>
            </w:pPr>
          </w:p>
          <w:p w14:paraId="1D1B49C5" w14:textId="77777777" w:rsidR="00E52543" w:rsidRPr="000A4E83" w:rsidRDefault="00E52543" w:rsidP="003234F5">
            <w:pPr>
              <w:jc w:val="center"/>
              <w:rPr>
                <w:rFonts w:ascii="Calibri" w:hAnsi="Calibri" w:cs="Calibri"/>
              </w:rPr>
            </w:pPr>
          </w:p>
          <w:p w14:paraId="3AE9BE23" w14:textId="77777777" w:rsidR="00E52543" w:rsidRPr="00BD0171" w:rsidRDefault="00E52543" w:rsidP="003234F5">
            <w:pPr>
              <w:jc w:val="center"/>
              <w:rPr>
                <w:rFonts w:ascii="Calibri" w:hAnsi="Calibri" w:cs="Calibri"/>
              </w:rPr>
            </w:pPr>
            <w:r>
              <w:rPr>
                <w:rFonts w:ascii="Calibri" w:hAnsi="Calibri" w:cs="Calibri"/>
              </w:rPr>
              <w:t>6</w:t>
            </w:r>
          </w:p>
        </w:tc>
      </w:tr>
      <w:tr w:rsidR="00E52543" w:rsidRPr="00374A2C" w14:paraId="05E7C55D" w14:textId="77777777" w:rsidTr="003234F5">
        <w:trPr>
          <w:jc w:val="center"/>
        </w:trPr>
        <w:tc>
          <w:tcPr>
            <w:tcW w:w="5864" w:type="dxa"/>
            <w:vMerge/>
          </w:tcPr>
          <w:p w14:paraId="33B52EE8" w14:textId="77777777" w:rsidR="00E52543" w:rsidRPr="00374A2C" w:rsidRDefault="00E52543" w:rsidP="003234F5">
            <w:pPr>
              <w:rPr>
                <w:rFonts w:ascii="Calibri" w:hAnsi="Calibri" w:cs="Calibri"/>
              </w:rPr>
            </w:pPr>
          </w:p>
        </w:tc>
        <w:tc>
          <w:tcPr>
            <w:tcW w:w="2920" w:type="dxa"/>
          </w:tcPr>
          <w:p w14:paraId="48D55398" w14:textId="77777777" w:rsidR="00E52543" w:rsidRPr="00BD0171" w:rsidRDefault="00E52543" w:rsidP="003234F5">
            <w:pPr>
              <w:jc w:val="center"/>
              <w:rPr>
                <w:rFonts w:ascii="Calibri" w:hAnsi="Calibri" w:cs="Calibri"/>
              </w:rPr>
            </w:pPr>
            <w:r w:rsidRPr="00BD0171">
              <w:rPr>
                <w:rFonts w:ascii="Calibri" w:hAnsi="Calibri" w:cs="Calibri"/>
              </w:rPr>
              <w:t>20+</w:t>
            </w:r>
          </w:p>
        </w:tc>
        <w:tc>
          <w:tcPr>
            <w:tcW w:w="992" w:type="dxa"/>
          </w:tcPr>
          <w:p w14:paraId="3AF4DBD7" w14:textId="77777777" w:rsidR="00E52543" w:rsidRPr="00BD0171" w:rsidRDefault="00E52543" w:rsidP="003234F5">
            <w:pPr>
              <w:jc w:val="center"/>
              <w:rPr>
                <w:rFonts w:ascii="Calibri" w:hAnsi="Calibri" w:cs="Calibri"/>
              </w:rPr>
            </w:pPr>
            <w:r w:rsidRPr="00BD0171">
              <w:rPr>
                <w:rFonts w:ascii="Calibri" w:hAnsi="Calibri" w:cs="Calibri"/>
              </w:rPr>
              <w:t>5</w:t>
            </w:r>
          </w:p>
        </w:tc>
        <w:tc>
          <w:tcPr>
            <w:tcW w:w="2693" w:type="dxa"/>
          </w:tcPr>
          <w:p w14:paraId="5EA296FA" w14:textId="77777777" w:rsidR="00E52543" w:rsidRPr="003234F5" w:rsidRDefault="00E52543" w:rsidP="003234F5">
            <w:pPr>
              <w:jc w:val="center"/>
              <w:rPr>
                <w:rFonts w:ascii="Calibri" w:hAnsi="Calibri" w:cs="Calibri"/>
              </w:rPr>
            </w:pPr>
            <w:r w:rsidRPr="003234F5">
              <w:rPr>
                <w:rFonts w:ascii="Calibri" w:hAnsi="Calibri" w:cs="Calibri"/>
              </w:rPr>
              <w:t>10+</w:t>
            </w:r>
          </w:p>
        </w:tc>
        <w:tc>
          <w:tcPr>
            <w:tcW w:w="993" w:type="dxa"/>
          </w:tcPr>
          <w:p w14:paraId="1E86E6CA" w14:textId="77777777" w:rsidR="00E52543" w:rsidRPr="003234F5" w:rsidRDefault="00E52543" w:rsidP="003234F5">
            <w:pPr>
              <w:jc w:val="center"/>
              <w:rPr>
                <w:rFonts w:ascii="Calibri" w:hAnsi="Calibri" w:cs="Calibri"/>
              </w:rPr>
            </w:pPr>
            <w:r w:rsidRPr="003234F5">
              <w:rPr>
                <w:rFonts w:ascii="Calibri" w:hAnsi="Calibri" w:cs="Calibri"/>
              </w:rPr>
              <w:t>5</w:t>
            </w:r>
          </w:p>
        </w:tc>
        <w:tc>
          <w:tcPr>
            <w:tcW w:w="1630" w:type="dxa"/>
            <w:vMerge/>
          </w:tcPr>
          <w:p w14:paraId="3850916D" w14:textId="77777777" w:rsidR="00E52543" w:rsidRPr="000A4E83" w:rsidRDefault="00E52543" w:rsidP="003234F5">
            <w:pPr>
              <w:rPr>
                <w:rFonts w:ascii="Calibri" w:hAnsi="Calibri" w:cs="Calibri"/>
              </w:rPr>
            </w:pPr>
          </w:p>
        </w:tc>
      </w:tr>
      <w:tr w:rsidR="00E52543" w:rsidRPr="00374A2C" w14:paraId="3C1FC647" w14:textId="77777777" w:rsidTr="003234F5">
        <w:trPr>
          <w:jc w:val="center"/>
        </w:trPr>
        <w:tc>
          <w:tcPr>
            <w:tcW w:w="5864" w:type="dxa"/>
            <w:vMerge/>
          </w:tcPr>
          <w:p w14:paraId="278B2E32" w14:textId="77777777" w:rsidR="00E52543" w:rsidRPr="00374A2C" w:rsidRDefault="00E52543" w:rsidP="003234F5">
            <w:pPr>
              <w:rPr>
                <w:rFonts w:ascii="Calibri" w:hAnsi="Calibri" w:cs="Calibri"/>
              </w:rPr>
            </w:pPr>
          </w:p>
        </w:tc>
        <w:tc>
          <w:tcPr>
            <w:tcW w:w="2920" w:type="dxa"/>
          </w:tcPr>
          <w:p w14:paraId="2177EA7D" w14:textId="77777777" w:rsidR="00E52543" w:rsidRPr="003234F5" w:rsidRDefault="00E52543" w:rsidP="003234F5">
            <w:pPr>
              <w:jc w:val="center"/>
              <w:rPr>
                <w:rFonts w:ascii="Calibri" w:hAnsi="Calibri" w:cs="Calibri"/>
              </w:rPr>
            </w:pPr>
            <w:r w:rsidRPr="003234F5">
              <w:rPr>
                <w:rFonts w:ascii="Calibri" w:hAnsi="Calibri" w:cs="Calibri"/>
              </w:rPr>
              <w:t>15-19</w:t>
            </w:r>
          </w:p>
        </w:tc>
        <w:tc>
          <w:tcPr>
            <w:tcW w:w="992" w:type="dxa"/>
          </w:tcPr>
          <w:p w14:paraId="106B8B57" w14:textId="77777777" w:rsidR="00E52543" w:rsidRPr="003234F5" w:rsidRDefault="00E52543" w:rsidP="003234F5">
            <w:pPr>
              <w:jc w:val="center"/>
              <w:rPr>
                <w:rFonts w:ascii="Calibri" w:hAnsi="Calibri" w:cs="Calibri"/>
              </w:rPr>
            </w:pPr>
            <w:r w:rsidRPr="003234F5">
              <w:rPr>
                <w:rFonts w:ascii="Calibri" w:hAnsi="Calibri" w:cs="Calibri"/>
              </w:rPr>
              <w:t>4</w:t>
            </w:r>
          </w:p>
        </w:tc>
        <w:tc>
          <w:tcPr>
            <w:tcW w:w="2693" w:type="dxa"/>
          </w:tcPr>
          <w:p w14:paraId="08CD387D" w14:textId="77777777" w:rsidR="00E52543" w:rsidRPr="00CC29BD" w:rsidRDefault="00E52543" w:rsidP="003234F5">
            <w:pPr>
              <w:jc w:val="center"/>
              <w:rPr>
                <w:rFonts w:ascii="Calibri" w:hAnsi="Calibri" w:cs="Calibri"/>
              </w:rPr>
            </w:pPr>
            <w:r w:rsidRPr="00CC29BD">
              <w:rPr>
                <w:rFonts w:ascii="Calibri" w:hAnsi="Calibri" w:cs="Calibri"/>
              </w:rPr>
              <w:t>8-9</w:t>
            </w:r>
          </w:p>
        </w:tc>
        <w:tc>
          <w:tcPr>
            <w:tcW w:w="993" w:type="dxa"/>
          </w:tcPr>
          <w:p w14:paraId="43FCC982" w14:textId="77777777" w:rsidR="00E52543" w:rsidRPr="00CC29BD" w:rsidRDefault="00E52543" w:rsidP="003234F5">
            <w:pPr>
              <w:jc w:val="center"/>
              <w:rPr>
                <w:rFonts w:ascii="Calibri" w:hAnsi="Calibri" w:cs="Calibri"/>
              </w:rPr>
            </w:pPr>
            <w:r w:rsidRPr="00CC29BD">
              <w:rPr>
                <w:rFonts w:ascii="Calibri" w:hAnsi="Calibri" w:cs="Calibri"/>
              </w:rPr>
              <w:t>4</w:t>
            </w:r>
          </w:p>
        </w:tc>
        <w:tc>
          <w:tcPr>
            <w:tcW w:w="1630" w:type="dxa"/>
            <w:vMerge/>
          </w:tcPr>
          <w:p w14:paraId="53CB5F9C" w14:textId="77777777" w:rsidR="00E52543" w:rsidRPr="000A4E83" w:rsidRDefault="00E52543" w:rsidP="003234F5">
            <w:pPr>
              <w:rPr>
                <w:rFonts w:ascii="Calibri" w:hAnsi="Calibri" w:cs="Calibri"/>
              </w:rPr>
            </w:pPr>
          </w:p>
        </w:tc>
      </w:tr>
      <w:tr w:rsidR="00E52543" w:rsidRPr="00374A2C" w14:paraId="1EB02E4F" w14:textId="77777777" w:rsidTr="003234F5">
        <w:trPr>
          <w:jc w:val="center"/>
        </w:trPr>
        <w:tc>
          <w:tcPr>
            <w:tcW w:w="5864" w:type="dxa"/>
            <w:vMerge/>
          </w:tcPr>
          <w:p w14:paraId="2A066D22" w14:textId="77777777" w:rsidR="00E52543" w:rsidRPr="00374A2C" w:rsidRDefault="00E52543" w:rsidP="003234F5">
            <w:pPr>
              <w:rPr>
                <w:rFonts w:ascii="Calibri" w:hAnsi="Calibri" w:cs="Calibri"/>
              </w:rPr>
            </w:pPr>
          </w:p>
        </w:tc>
        <w:tc>
          <w:tcPr>
            <w:tcW w:w="2920" w:type="dxa"/>
          </w:tcPr>
          <w:p w14:paraId="539574F0" w14:textId="77777777" w:rsidR="00E52543" w:rsidRPr="003234F5" w:rsidRDefault="00E52543" w:rsidP="003234F5">
            <w:pPr>
              <w:jc w:val="center"/>
              <w:rPr>
                <w:rFonts w:ascii="Calibri" w:hAnsi="Calibri" w:cs="Calibri"/>
                <w:b/>
                <w:bCs/>
                <w:u w:val="single"/>
              </w:rPr>
            </w:pPr>
            <w:r w:rsidRPr="003234F5">
              <w:rPr>
                <w:rFonts w:ascii="Calibri" w:hAnsi="Calibri" w:cs="Calibri"/>
                <w:b/>
                <w:bCs/>
                <w:u w:val="single"/>
              </w:rPr>
              <w:t>10-14</w:t>
            </w:r>
          </w:p>
        </w:tc>
        <w:tc>
          <w:tcPr>
            <w:tcW w:w="992" w:type="dxa"/>
          </w:tcPr>
          <w:p w14:paraId="27B3EEE2" w14:textId="77777777" w:rsidR="00E52543" w:rsidRPr="003234F5" w:rsidRDefault="00E52543" w:rsidP="003234F5">
            <w:pPr>
              <w:jc w:val="center"/>
              <w:rPr>
                <w:rFonts w:ascii="Calibri" w:hAnsi="Calibri" w:cs="Calibri"/>
                <w:b/>
                <w:bCs/>
                <w:u w:val="single"/>
              </w:rPr>
            </w:pPr>
            <w:r w:rsidRPr="003234F5">
              <w:rPr>
                <w:rFonts w:ascii="Calibri" w:hAnsi="Calibri" w:cs="Calibri"/>
                <w:b/>
                <w:bCs/>
                <w:u w:val="single"/>
              </w:rPr>
              <w:t>3</w:t>
            </w:r>
          </w:p>
        </w:tc>
        <w:tc>
          <w:tcPr>
            <w:tcW w:w="2693" w:type="dxa"/>
          </w:tcPr>
          <w:p w14:paraId="3CE029D2" w14:textId="77777777" w:rsidR="00E52543" w:rsidRPr="003234F5" w:rsidRDefault="00E52543" w:rsidP="003234F5">
            <w:pPr>
              <w:jc w:val="center"/>
              <w:rPr>
                <w:rFonts w:ascii="Calibri" w:hAnsi="Calibri" w:cs="Calibri"/>
                <w:b/>
                <w:bCs/>
                <w:u w:val="single"/>
              </w:rPr>
            </w:pPr>
            <w:r w:rsidRPr="003234F5">
              <w:rPr>
                <w:rFonts w:ascii="Calibri" w:hAnsi="Calibri" w:cs="Calibri"/>
                <w:b/>
                <w:bCs/>
                <w:u w:val="single"/>
              </w:rPr>
              <w:t>6-7</w:t>
            </w:r>
          </w:p>
        </w:tc>
        <w:tc>
          <w:tcPr>
            <w:tcW w:w="993" w:type="dxa"/>
          </w:tcPr>
          <w:p w14:paraId="7EB12F55" w14:textId="77777777" w:rsidR="00E52543" w:rsidRPr="003234F5" w:rsidRDefault="00E52543" w:rsidP="003234F5">
            <w:pPr>
              <w:jc w:val="center"/>
              <w:rPr>
                <w:rFonts w:ascii="Calibri" w:hAnsi="Calibri" w:cs="Calibri"/>
                <w:b/>
                <w:bCs/>
                <w:u w:val="single"/>
              </w:rPr>
            </w:pPr>
            <w:r w:rsidRPr="003234F5">
              <w:rPr>
                <w:rFonts w:ascii="Calibri" w:hAnsi="Calibri" w:cs="Calibri"/>
                <w:b/>
                <w:bCs/>
                <w:u w:val="single"/>
              </w:rPr>
              <w:t>3</w:t>
            </w:r>
          </w:p>
        </w:tc>
        <w:tc>
          <w:tcPr>
            <w:tcW w:w="1630" w:type="dxa"/>
            <w:vMerge/>
          </w:tcPr>
          <w:p w14:paraId="6E71CC1C" w14:textId="77777777" w:rsidR="00E52543" w:rsidRPr="000A4E83" w:rsidRDefault="00E52543" w:rsidP="003234F5">
            <w:pPr>
              <w:rPr>
                <w:rFonts w:ascii="Calibri" w:hAnsi="Calibri" w:cs="Calibri"/>
              </w:rPr>
            </w:pPr>
          </w:p>
        </w:tc>
      </w:tr>
      <w:tr w:rsidR="00E52543" w:rsidRPr="00374A2C" w14:paraId="5375E059" w14:textId="77777777" w:rsidTr="003234F5">
        <w:trPr>
          <w:jc w:val="center"/>
        </w:trPr>
        <w:tc>
          <w:tcPr>
            <w:tcW w:w="5864" w:type="dxa"/>
            <w:vMerge/>
          </w:tcPr>
          <w:p w14:paraId="67ED41F9" w14:textId="77777777" w:rsidR="00E52543" w:rsidRPr="00374A2C" w:rsidRDefault="00E52543" w:rsidP="003234F5">
            <w:pPr>
              <w:rPr>
                <w:rFonts w:ascii="Calibri" w:hAnsi="Calibri" w:cs="Calibri"/>
              </w:rPr>
            </w:pPr>
          </w:p>
        </w:tc>
        <w:tc>
          <w:tcPr>
            <w:tcW w:w="2920" w:type="dxa"/>
          </w:tcPr>
          <w:p w14:paraId="1408CCEB" w14:textId="77777777" w:rsidR="00E52543" w:rsidRPr="00D40C4C" w:rsidRDefault="00E52543" w:rsidP="003234F5">
            <w:pPr>
              <w:jc w:val="center"/>
              <w:rPr>
                <w:rFonts w:ascii="Calibri" w:hAnsi="Calibri" w:cs="Calibri"/>
              </w:rPr>
            </w:pPr>
            <w:r w:rsidRPr="00D40C4C">
              <w:rPr>
                <w:rFonts w:ascii="Calibri" w:hAnsi="Calibri" w:cs="Calibri"/>
              </w:rPr>
              <w:t>5-9</w:t>
            </w:r>
          </w:p>
        </w:tc>
        <w:tc>
          <w:tcPr>
            <w:tcW w:w="992" w:type="dxa"/>
          </w:tcPr>
          <w:p w14:paraId="30AA1695" w14:textId="77777777" w:rsidR="00E52543" w:rsidRPr="00D40C4C" w:rsidRDefault="00E52543" w:rsidP="003234F5">
            <w:pPr>
              <w:jc w:val="center"/>
              <w:rPr>
                <w:rFonts w:ascii="Calibri" w:hAnsi="Calibri" w:cs="Calibri"/>
              </w:rPr>
            </w:pPr>
            <w:r w:rsidRPr="00D40C4C">
              <w:rPr>
                <w:rFonts w:ascii="Calibri" w:hAnsi="Calibri" w:cs="Calibri"/>
              </w:rPr>
              <w:t>2</w:t>
            </w:r>
          </w:p>
        </w:tc>
        <w:tc>
          <w:tcPr>
            <w:tcW w:w="2693" w:type="dxa"/>
          </w:tcPr>
          <w:p w14:paraId="08312959" w14:textId="77777777" w:rsidR="00E52543" w:rsidRPr="00374A2C" w:rsidRDefault="00E52543" w:rsidP="003234F5">
            <w:pPr>
              <w:jc w:val="center"/>
              <w:rPr>
                <w:rFonts w:ascii="Calibri" w:hAnsi="Calibri" w:cs="Calibri"/>
              </w:rPr>
            </w:pPr>
            <w:r w:rsidRPr="00374A2C">
              <w:rPr>
                <w:rFonts w:ascii="Calibri" w:hAnsi="Calibri" w:cs="Calibri"/>
              </w:rPr>
              <w:t>4-5</w:t>
            </w:r>
          </w:p>
        </w:tc>
        <w:tc>
          <w:tcPr>
            <w:tcW w:w="993" w:type="dxa"/>
          </w:tcPr>
          <w:p w14:paraId="610BFF4A" w14:textId="77777777" w:rsidR="00E52543" w:rsidRPr="00374A2C" w:rsidRDefault="00E52543" w:rsidP="003234F5">
            <w:pPr>
              <w:jc w:val="center"/>
              <w:rPr>
                <w:rFonts w:ascii="Calibri" w:hAnsi="Calibri" w:cs="Calibri"/>
              </w:rPr>
            </w:pPr>
            <w:r w:rsidRPr="00374A2C">
              <w:rPr>
                <w:rFonts w:ascii="Calibri" w:hAnsi="Calibri" w:cs="Calibri"/>
              </w:rPr>
              <w:t>2</w:t>
            </w:r>
          </w:p>
        </w:tc>
        <w:tc>
          <w:tcPr>
            <w:tcW w:w="1630" w:type="dxa"/>
            <w:vMerge/>
          </w:tcPr>
          <w:p w14:paraId="244DB06C" w14:textId="77777777" w:rsidR="00E52543" w:rsidRPr="000A4E83" w:rsidRDefault="00E52543" w:rsidP="003234F5">
            <w:pPr>
              <w:rPr>
                <w:rFonts w:ascii="Calibri" w:hAnsi="Calibri" w:cs="Calibri"/>
              </w:rPr>
            </w:pPr>
          </w:p>
        </w:tc>
      </w:tr>
      <w:tr w:rsidR="00E52543" w:rsidRPr="00374A2C" w14:paraId="736667B5" w14:textId="77777777" w:rsidTr="003234F5">
        <w:trPr>
          <w:jc w:val="center"/>
        </w:trPr>
        <w:tc>
          <w:tcPr>
            <w:tcW w:w="5864" w:type="dxa"/>
            <w:vMerge/>
          </w:tcPr>
          <w:p w14:paraId="6C2C8A40" w14:textId="77777777" w:rsidR="00E52543" w:rsidRPr="00374A2C" w:rsidRDefault="00E52543" w:rsidP="003234F5">
            <w:pPr>
              <w:rPr>
                <w:rFonts w:ascii="Calibri" w:hAnsi="Calibri" w:cs="Calibri"/>
              </w:rPr>
            </w:pPr>
          </w:p>
        </w:tc>
        <w:tc>
          <w:tcPr>
            <w:tcW w:w="2920" w:type="dxa"/>
          </w:tcPr>
          <w:p w14:paraId="03C0A3E1" w14:textId="77777777" w:rsidR="00E52543" w:rsidRPr="00374A2C" w:rsidRDefault="00E52543" w:rsidP="003234F5">
            <w:pPr>
              <w:jc w:val="center"/>
              <w:rPr>
                <w:rFonts w:ascii="Calibri" w:hAnsi="Calibri" w:cs="Calibri"/>
              </w:rPr>
            </w:pPr>
            <w:r w:rsidRPr="00374A2C">
              <w:rPr>
                <w:rFonts w:ascii="Calibri" w:hAnsi="Calibri" w:cs="Calibri"/>
              </w:rPr>
              <w:t>1-4</w:t>
            </w:r>
          </w:p>
        </w:tc>
        <w:tc>
          <w:tcPr>
            <w:tcW w:w="992" w:type="dxa"/>
          </w:tcPr>
          <w:p w14:paraId="105B8E23" w14:textId="77777777" w:rsidR="00E52543" w:rsidRPr="00374A2C" w:rsidRDefault="00E52543" w:rsidP="003234F5">
            <w:pPr>
              <w:jc w:val="center"/>
              <w:rPr>
                <w:rFonts w:ascii="Calibri" w:hAnsi="Calibri" w:cs="Calibri"/>
              </w:rPr>
            </w:pPr>
            <w:r w:rsidRPr="00374A2C">
              <w:rPr>
                <w:rFonts w:ascii="Calibri" w:hAnsi="Calibri" w:cs="Calibri"/>
              </w:rPr>
              <w:t>1</w:t>
            </w:r>
          </w:p>
        </w:tc>
        <w:tc>
          <w:tcPr>
            <w:tcW w:w="2693" w:type="dxa"/>
          </w:tcPr>
          <w:p w14:paraId="23688C50" w14:textId="77777777" w:rsidR="00E52543" w:rsidRPr="00374A2C" w:rsidRDefault="00E52543" w:rsidP="003234F5">
            <w:pPr>
              <w:jc w:val="center"/>
              <w:rPr>
                <w:rFonts w:ascii="Calibri" w:hAnsi="Calibri" w:cs="Calibri"/>
              </w:rPr>
            </w:pPr>
            <w:r w:rsidRPr="00374A2C">
              <w:rPr>
                <w:rFonts w:ascii="Calibri" w:hAnsi="Calibri" w:cs="Calibri"/>
              </w:rPr>
              <w:t>1-3</w:t>
            </w:r>
          </w:p>
        </w:tc>
        <w:tc>
          <w:tcPr>
            <w:tcW w:w="993" w:type="dxa"/>
          </w:tcPr>
          <w:p w14:paraId="7CDBAA5B" w14:textId="77777777" w:rsidR="00E52543" w:rsidRPr="00374A2C" w:rsidRDefault="00E52543" w:rsidP="003234F5">
            <w:pPr>
              <w:jc w:val="center"/>
              <w:rPr>
                <w:rFonts w:ascii="Calibri" w:hAnsi="Calibri" w:cs="Calibri"/>
              </w:rPr>
            </w:pPr>
            <w:r w:rsidRPr="00374A2C">
              <w:rPr>
                <w:rFonts w:ascii="Calibri" w:hAnsi="Calibri" w:cs="Calibri"/>
              </w:rPr>
              <w:t>1</w:t>
            </w:r>
          </w:p>
        </w:tc>
        <w:tc>
          <w:tcPr>
            <w:tcW w:w="1630" w:type="dxa"/>
            <w:vMerge/>
          </w:tcPr>
          <w:p w14:paraId="12236856" w14:textId="77777777" w:rsidR="00E52543" w:rsidRPr="000A4E83" w:rsidRDefault="00E52543" w:rsidP="003234F5">
            <w:pPr>
              <w:rPr>
                <w:rFonts w:ascii="Calibri" w:hAnsi="Calibri" w:cs="Calibri"/>
              </w:rPr>
            </w:pPr>
          </w:p>
        </w:tc>
      </w:tr>
      <w:tr w:rsidR="00E52543" w:rsidRPr="00374A2C" w14:paraId="0354AF50" w14:textId="77777777" w:rsidTr="003234F5">
        <w:trPr>
          <w:jc w:val="center"/>
        </w:trPr>
        <w:tc>
          <w:tcPr>
            <w:tcW w:w="5864" w:type="dxa"/>
            <w:vMerge/>
          </w:tcPr>
          <w:p w14:paraId="3AA57AFF" w14:textId="77777777" w:rsidR="00E52543" w:rsidRPr="00374A2C" w:rsidRDefault="00E52543" w:rsidP="003234F5">
            <w:pPr>
              <w:rPr>
                <w:rFonts w:ascii="Calibri" w:hAnsi="Calibri" w:cs="Calibri"/>
              </w:rPr>
            </w:pPr>
          </w:p>
        </w:tc>
        <w:tc>
          <w:tcPr>
            <w:tcW w:w="2920" w:type="dxa"/>
          </w:tcPr>
          <w:p w14:paraId="796C665E"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992" w:type="dxa"/>
          </w:tcPr>
          <w:p w14:paraId="4EA02D44"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2693" w:type="dxa"/>
          </w:tcPr>
          <w:p w14:paraId="71F57320"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993" w:type="dxa"/>
          </w:tcPr>
          <w:p w14:paraId="704E8244"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1630" w:type="dxa"/>
            <w:vMerge/>
          </w:tcPr>
          <w:p w14:paraId="0EE85D6C" w14:textId="77777777" w:rsidR="00E52543" w:rsidRPr="000A4E83" w:rsidRDefault="00E52543" w:rsidP="003234F5">
            <w:pPr>
              <w:rPr>
                <w:rFonts w:ascii="Calibri" w:hAnsi="Calibri" w:cs="Calibri"/>
              </w:rPr>
            </w:pPr>
          </w:p>
        </w:tc>
      </w:tr>
      <w:tr w:rsidR="00E52543" w:rsidRPr="00374A2C" w14:paraId="177FA476" w14:textId="77777777" w:rsidTr="003234F5">
        <w:trPr>
          <w:jc w:val="center"/>
        </w:trPr>
        <w:tc>
          <w:tcPr>
            <w:tcW w:w="5864" w:type="dxa"/>
            <w:vMerge w:val="restart"/>
          </w:tcPr>
          <w:p w14:paraId="62D63094" w14:textId="34A5BBC9" w:rsidR="00E52543" w:rsidRPr="00374A2C" w:rsidRDefault="00E52543" w:rsidP="003234F5">
            <w:pPr>
              <w:rPr>
                <w:rFonts w:ascii="Calibri" w:hAnsi="Calibri" w:cs="Calibri"/>
                <w:b/>
                <w:bCs/>
              </w:rPr>
            </w:pPr>
            <w:commentRangeStart w:id="25"/>
            <w:r w:rsidRPr="00374A2C">
              <w:rPr>
                <w:rFonts w:ascii="Calibri" w:hAnsi="Calibri" w:cs="Calibri"/>
                <w:b/>
                <w:bCs/>
              </w:rPr>
              <w:t>I</w:t>
            </w:r>
            <w:r>
              <w:rPr>
                <w:rFonts w:ascii="Calibri" w:hAnsi="Calibri" w:cs="Calibri"/>
                <w:b/>
                <w:bCs/>
              </w:rPr>
              <w:t>dentified Supporting Actions</w:t>
            </w:r>
          </w:p>
          <w:p w14:paraId="4E129787" w14:textId="77777777" w:rsidR="00E52543" w:rsidRPr="00374A2C" w:rsidRDefault="00E52543" w:rsidP="003234F5">
            <w:pPr>
              <w:rPr>
                <w:rFonts w:ascii="Calibri" w:hAnsi="Calibri" w:cs="Calibri"/>
              </w:rPr>
            </w:pPr>
          </w:p>
          <w:p w14:paraId="3A4BE6E4" w14:textId="77777777" w:rsidR="00E52543" w:rsidRPr="00374A2C" w:rsidRDefault="00E52543" w:rsidP="003234F5">
            <w:pPr>
              <w:rPr>
                <w:rFonts w:ascii="Calibri" w:hAnsi="Calibri" w:cs="Calibri"/>
              </w:rPr>
            </w:pPr>
            <w:r w:rsidRPr="00374A2C">
              <w:rPr>
                <w:rFonts w:ascii="Calibri" w:hAnsi="Calibri" w:cs="Calibri"/>
              </w:rPr>
              <w:t xml:space="preserve">Strategic documents with specific actions </w:t>
            </w:r>
            <w:r>
              <w:rPr>
                <w:rFonts w:ascii="Calibri" w:hAnsi="Calibri" w:cs="Calibri"/>
              </w:rPr>
              <w:t>aimed at improving diet or obesity</w:t>
            </w:r>
          </w:p>
        </w:tc>
        <w:tc>
          <w:tcPr>
            <w:tcW w:w="3912" w:type="dxa"/>
            <w:gridSpan w:val="2"/>
          </w:tcPr>
          <w:p w14:paraId="0CE5924C" w14:textId="77777777" w:rsidR="00E52543" w:rsidRPr="00374A2C" w:rsidRDefault="00E52543" w:rsidP="003234F5">
            <w:pPr>
              <w:jc w:val="center"/>
              <w:rPr>
                <w:rFonts w:ascii="Calibri" w:hAnsi="Calibri" w:cs="Calibri"/>
              </w:rPr>
            </w:pPr>
            <w:r w:rsidRPr="00374A2C">
              <w:rPr>
                <w:rFonts w:ascii="Calibri" w:hAnsi="Calibri" w:cs="Calibri"/>
                <w:b/>
                <w:bCs/>
              </w:rPr>
              <w:t>No. of Policies with identifiable Actions</w:t>
            </w:r>
          </w:p>
        </w:tc>
        <w:tc>
          <w:tcPr>
            <w:tcW w:w="3686" w:type="dxa"/>
            <w:gridSpan w:val="2"/>
          </w:tcPr>
          <w:p w14:paraId="5E2A1C70" w14:textId="77777777" w:rsidR="00E52543" w:rsidRPr="00374A2C" w:rsidRDefault="00E52543" w:rsidP="003234F5">
            <w:pPr>
              <w:jc w:val="center"/>
              <w:rPr>
                <w:rFonts w:ascii="Calibri" w:hAnsi="Calibri" w:cs="Calibri"/>
                <w:b/>
                <w:bCs/>
              </w:rPr>
            </w:pPr>
            <w:r w:rsidRPr="00374A2C">
              <w:rPr>
                <w:rFonts w:ascii="Calibri" w:hAnsi="Calibri" w:cs="Calibri"/>
                <w:b/>
                <w:bCs/>
              </w:rPr>
              <w:t>Score</w:t>
            </w:r>
          </w:p>
        </w:tc>
        <w:tc>
          <w:tcPr>
            <w:tcW w:w="1630" w:type="dxa"/>
            <w:vMerge w:val="restart"/>
          </w:tcPr>
          <w:p w14:paraId="1091E2AF" w14:textId="77777777" w:rsidR="00E52543" w:rsidRPr="00BD0171" w:rsidRDefault="00E52543" w:rsidP="003234F5">
            <w:pPr>
              <w:jc w:val="center"/>
              <w:rPr>
                <w:rFonts w:ascii="Calibri" w:hAnsi="Calibri" w:cs="Calibri"/>
              </w:rPr>
            </w:pPr>
          </w:p>
          <w:p w14:paraId="47B21FED" w14:textId="77777777" w:rsidR="00E52543" w:rsidRPr="00BD0171" w:rsidRDefault="00E52543" w:rsidP="003234F5">
            <w:pPr>
              <w:jc w:val="center"/>
              <w:rPr>
                <w:rFonts w:ascii="Calibri" w:hAnsi="Calibri" w:cs="Calibri"/>
              </w:rPr>
            </w:pPr>
            <w:r>
              <w:rPr>
                <w:rFonts w:ascii="Calibri" w:hAnsi="Calibri" w:cs="Calibri"/>
              </w:rPr>
              <w:t>8</w:t>
            </w:r>
            <w:commentRangeEnd w:id="25"/>
            <w:r>
              <w:rPr>
                <w:rStyle w:val="CommentReference"/>
              </w:rPr>
              <w:commentReference w:id="25"/>
            </w:r>
          </w:p>
        </w:tc>
      </w:tr>
      <w:tr w:rsidR="00E52543" w:rsidRPr="00374A2C" w14:paraId="769A7BCB" w14:textId="77777777" w:rsidTr="003234F5">
        <w:trPr>
          <w:jc w:val="center"/>
        </w:trPr>
        <w:tc>
          <w:tcPr>
            <w:tcW w:w="5864" w:type="dxa"/>
            <w:vMerge/>
          </w:tcPr>
          <w:p w14:paraId="16D502C9" w14:textId="77777777" w:rsidR="00E52543" w:rsidRPr="00374A2C" w:rsidRDefault="00E52543" w:rsidP="003234F5">
            <w:pPr>
              <w:rPr>
                <w:rFonts w:ascii="Calibri" w:hAnsi="Calibri" w:cs="Calibri"/>
              </w:rPr>
            </w:pPr>
          </w:p>
        </w:tc>
        <w:tc>
          <w:tcPr>
            <w:tcW w:w="3912" w:type="dxa"/>
            <w:gridSpan w:val="2"/>
          </w:tcPr>
          <w:p w14:paraId="04D88A2D" w14:textId="77777777" w:rsidR="00E52543" w:rsidRPr="00374A2C" w:rsidRDefault="00E52543" w:rsidP="003234F5">
            <w:pPr>
              <w:pStyle w:val="NormalWeb"/>
              <w:shd w:val="clear" w:color="auto" w:fill="FFFFFF"/>
              <w:jc w:val="center"/>
              <w:rPr>
                <w:rFonts w:ascii="Calibri" w:hAnsi="Calibri" w:cs="Calibri"/>
                <w:sz w:val="22"/>
                <w:szCs w:val="22"/>
              </w:rPr>
            </w:pPr>
            <w:r w:rsidRPr="00374A2C">
              <w:rPr>
                <w:rFonts w:ascii="Calibri" w:hAnsi="Calibri" w:cs="Calibri"/>
                <w:sz w:val="22"/>
                <w:szCs w:val="22"/>
              </w:rPr>
              <w:t>Actual number of documents to maximum of 20</w:t>
            </w:r>
          </w:p>
        </w:tc>
        <w:tc>
          <w:tcPr>
            <w:tcW w:w="3686" w:type="dxa"/>
            <w:gridSpan w:val="2"/>
          </w:tcPr>
          <w:p w14:paraId="023999D2" w14:textId="77777777" w:rsidR="00E52543" w:rsidRPr="00374A2C" w:rsidRDefault="00E52543" w:rsidP="003234F5">
            <w:pPr>
              <w:jc w:val="center"/>
              <w:rPr>
                <w:rFonts w:ascii="Calibri" w:hAnsi="Calibri" w:cs="Calibri"/>
              </w:rPr>
            </w:pPr>
            <w:r w:rsidRPr="00374A2C">
              <w:rPr>
                <w:rFonts w:ascii="Calibri" w:hAnsi="Calibri" w:cs="Calibri"/>
              </w:rPr>
              <w:t>0-20</w:t>
            </w:r>
          </w:p>
        </w:tc>
        <w:tc>
          <w:tcPr>
            <w:tcW w:w="1630" w:type="dxa"/>
            <w:vMerge/>
          </w:tcPr>
          <w:p w14:paraId="76CECCFA" w14:textId="77777777" w:rsidR="00E52543" w:rsidRPr="000A4E83" w:rsidRDefault="00E52543" w:rsidP="003234F5">
            <w:pPr>
              <w:jc w:val="center"/>
              <w:rPr>
                <w:rFonts w:ascii="Calibri" w:hAnsi="Calibri" w:cs="Calibri"/>
              </w:rPr>
            </w:pPr>
          </w:p>
        </w:tc>
      </w:tr>
      <w:tr w:rsidR="00E52543" w:rsidRPr="00374A2C" w14:paraId="4F39BDFA" w14:textId="77777777" w:rsidTr="003234F5">
        <w:trPr>
          <w:jc w:val="center"/>
        </w:trPr>
        <w:tc>
          <w:tcPr>
            <w:tcW w:w="5864" w:type="dxa"/>
            <w:vMerge w:val="restart"/>
          </w:tcPr>
          <w:p w14:paraId="1F8C1DF3" w14:textId="77777777" w:rsidR="00E52543" w:rsidRPr="00374A2C" w:rsidRDefault="00E52543" w:rsidP="003234F5">
            <w:pPr>
              <w:rPr>
                <w:rFonts w:ascii="Calibri" w:hAnsi="Calibri" w:cs="Calibri"/>
                <w:b/>
                <w:bCs/>
              </w:rPr>
            </w:pPr>
            <w:r w:rsidRPr="00374A2C">
              <w:rPr>
                <w:rFonts w:ascii="Calibri" w:hAnsi="Calibri" w:cs="Calibri"/>
                <w:b/>
                <w:bCs/>
              </w:rPr>
              <w:t>Identified Accountable Organisation(s)</w:t>
            </w:r>
          </w:p>
          <w:p w14:paraId="5D65A8D9" w14:textId="77777777" w:rsidR="00E52543" w:rsidRPr="00374A2C" w:rsidRDefault="00E52543" w:rsidP="003234F5">
            <w:pPr>
              <w:rPr>
                <w:rFonts w:ascii="Calibri" w:hAnsi="Calibri" w:cs="Calibri"/>
              </w:rPr>
            </w:pPr>
          </w:p>
          <w:p w14:paraId="200B882B" w14:textId="77777777" w:rsidR="00E52543" w:rsidRPr="00374A2C" w:rsidRDefault="00E52543" w:rsidP="003234F5">
            <w:pPr>
              <w:rPr>
                <w:rFonts w:ascii="Calibri" w:hAnsi="Calibri" w:cs="Calibri"/>
              </w:rPr>
            </w:pPr>
            <w:r w:rsidRPr="00374A2C">
              <w:rPr>
                <w:rFonts w:ascii="Calibri" w:hAnsi="Calibri" w:cs="Calibri"/>
              </w:rPr>
              <w:t>Discreet organisations specifically identified as responsible for delivery of actions.</w:t>
            </w:r>
          </w:p>
        </w:tc>
        <w:tc>
          <w:tcPr>
            <w:tcW w:w="3912" w:type="dxa"/>
            <w:gridSpan w:val="2"/>
          </w:tcPr>
          <w:p w14:paraId="75738C58" w14:textId="77777777" w:rsidR="00E52543" w:rsidRPr="00374A2C" w:rsidRDefault="00E52543" w:rsidP="003234F5">
            <w:pPr>
              <w:jc w:val="center"/>
              <w:rPr>
                <w:rFonts w:ascii="Calibri" w:hAnsi="Calibri" w:cs="Calibri"/>
              </w:rPr>
            </w:pPr>
            <w:r w:rsidRPr="00374A2C">
              <w:rPr>
                <w:rFonts w:ascii="Calibri" w:hAnsi="Calibri" w:cs="Calibri"/>
                <w:b/>
                <w:bCs/>
              </w:rPr>
              <w:t>Proportion (%) of Policies with Identified Responsibilities for delivery of Actions</w:t>
            </w:r>
          </w:p>
        </w:tc>
        <w:tc>
          <w:tcPr>
            <w:tcW w:w="3686" w:type="dxa"/>
            <w:gridSpan w:val="2"/>
          </w:tcPr>
          <w:p w14:paraId="6CDC0B0B" w14:textId="77777777" w:rsidR="00E52543" w:rsidRPr="00374A2C" w:rsidRDefault="00E52543" w:rsidP="003234F5">
            <w:pPr>
              <w:jc w:val="center"/>
              <w:rPr>
                <w:rFonts w:ascii="Calibri" w:hAnsi="Calibri" w:cs="Calibri"/>
                <w:b/>
                <w:bCs/>
              </w:rPr>
            </w:pPr>
            <w:r w:rsidRPr="00374A2C">
              <w:rPr>
                <w:rFonts w:ascii="Calibri" w:hAnsi="Calibri" w:cs="Calibri"/>
                <w:b/>
                <w:bCs/>
              </w:rPr>
              <w:t>Score</w:t>
            </w:r>
          </w:p>
        </w:tc>
        <w:tc>
          <w:tcPr>
            <w:tcW w:w="1630" w:type="dxa"/>
            <w:vMerge w:val="restart"/>
          </w:tcPr>
          <w:p w14:paraId="50A0A798" w14:textId="77777777" w:rsidR="00E52543" w:rsidRPr="00BD0171" w:rsidRDefault="00E52543" w:rsidP="003234F5">
            <w:pPr>
              <w:jc w:val="center"/>
              <w:rPr>
                <w:rFonts w:ascii="Calibri" w:hAnsi="Calibri" w:cs="Calibri"/>
              </w:rPr>
            </w:pPr>
          </w:p>
          <w:p w14:paraId="3E4A6323" w14:textId="77777777" w:rsidR="00E52543" w:rsidRPr="000A4E83" w:rsidRDefault="00E52543" w:rsidP="003234F5">
            <w:pPr>
              <w:jc w:val="center"/>
              <w:rPr>
                <w:rFonts w:ascii="Calibri" w:hAnsi="Calibri" w:cs="Calibri"/>
              </w:rPr>
            </w:pPr>
          </w:p>
          <w:p w14:paraId="46CA054A" w14:textId="77777777" w:rsidR="00E52543" w:rsidRPr="00BD0171" w:rsidRDefault="00E52543" w:rsidP="003234F5">
            <w:pPr>
              <w:jc w:val="center"/>
              <w:rPr>
                <w:rFonts w:ascii="Calibri" w:hAnsi="Calibri" w:cs="Calibri"/>
              </w:rPr>
            </w:pPr>
            <w:r>
              <w:rPr>
                <w:rFonts w:ascii="Calibri" w:hAnsi="Calibri" w:cs="Calibri"/>
              </w:rPr>
              <w:t>25</w:t>
            </w:r>
          </w:p>
        </w:tc>
      </w:tr>
      <w:tr w:rsidR="00E52543" w:rsidRPr="00374A2C" w14:paraId="0F2381D9" w14:textId="77777777" w:rsidTr="003234F5">
        <w:trPr>
          <w:jc w:val="center"/>
        </w:trPr>
        <w:tc>
          <w:tcPr>
            <w:tcW w:w="5864" w:type="dxa"/>
            <w:vMerge/>
          </w:tcPr>
          <w:p w14:paraId="7539EE58" w14:textId="77777777" w:rsidR="00E52543" w:rsidRPr="00374A2C" w:rsidRDefault="00E52543" w:rsidP="003234F5">
            <w:pPr>
              <w:rPr>
                <w:rFonts w:ascii="Calibri" w:hAnsi="Calibri" w:cs="Calibri"/>
              </w:rPr>
            </w:pPr>
          </w:p>
        </w:tc>
        <w:tc>
          <w:tcPr>
            <w:tcW w:w="3912" w:type="dxa"/>
            <w:gridSpan w:val="2"/>
          </w:tcPr>
          <w:p w14:paraId="4A798D98" w14:textId="77777777" w:rsidR="00E52543" w:rsidRPr="003234F5" w:rsidRDefault="00E52543" w:rsidP="003234F5">
            <w:pPr>
              <w:jc w:val="center"/>
              <w:rPr>
                <w:rFonts w:ascii="Calibri" w:hAnsi="Calibri" w:cs="Calibri"/>
                <w:b/>
                <w:bCs/>
                <w:u w:val="single"/>
              </w:rPr>
            </w:pPr>
            <w:r w:rsidRPr="003234F5">
              <w:rPr>
                <w:rFonts w:ascii="Calibri" w:hAnsi="Calibri" w:cs="Calibri"/>
                <w:b/>
                <w:bCs/>
                <w:u w:val="single"/>
              </w:rPr>
              <w:t>100%</w:t>
            </w:r>
          </w:p>
        </w:tc>
        <w:tc>
          <w:tcPr>
            <w:tcW w:w="3686" w:type="dxa"/>
            <w:gridSpan w:val="2"/>
          </w:tcPr>
          <w:p w14:paraId="3439E227" w14:textId="77777777" w:rsidR="00E52543" w:rsidRPr="003234F5" w:rsidRDefault="00E52543" w:rsidP="003234F5">
            <w:pPr>
              <w:jc w:val="center"/>
              <w:rPr>
                <w:rFonts w:ascii="Calibri" w:hAnsi="Calibri" w:cs="Calibri"/>
                <w:b/>
                <w:bCs/>
                <w:u w:val="single"/>
              </w:rPr>
            </w:pPr>
            <w:r w:rsidRPr="003234F5">
              <w:rPr>
                <w:rFonts w:ascii="Calibri" w:hAnsi="Calibri" w:cs="Calibri"/>
                <w:b/>
                <w:bCs/>
                <w:u w:val="single"/>
              </w:rPr>
              <w:t>25</w:t>
            </w:r>
          </w:p>
        </w:tc>
        <w:tc>
          <w:tcPr>
            <w:tcW w:w="1630" w:type="dxa"/>
            <w:vMerge/>
          </w:tcPr>
          <w:p w14:paraId="2BA5B528" w14:textId="77777777" w:rsidR="00E52543" w:rsidRPr="000A4E83" w:rsidRDefault="00E52543" w:rsidP="003234F5">
            <w:pPr>
              <w:jc w:val="center"/>
              <w:rPr>
                <w:rFonts w:ascii="Calibri" w:hAnsi="Calibri" w:cs="Calibri"/>
              </w:rPr>
            </w:pPr>
          </w:p>
        </w:tc>
      </w:tr>
      <w:tr w:rsidR="00E52543" w:rsidRPr="00374A2C" w14:paraId="1616A556" w14:textId="77777777" w:rsidTr="003234F5">
        <w:trPr>
          <w:jc w:val="center"/>
        </w:trPr>
        <w:tc>
          <w:tcPr>
            <w:tcW w:w="5864" w:type="dxa"/>
            <w:vMerge/>
          </w:tcPr>
          <w:p w14:paraId="60390BCA" w14:textId="77777777" w:rsidR="00E52543" w:rsidRPr="00374A2C" w:rsidRDefault="00E52543" w:rsidP="003234F5">
            <w:pPr>
              <w:rPr>
                <w:rFonts w:ascii="Calibri" w:hAnsi="Calibri" w:cs="Calibri"/>
              </w:rPr>
            </w:pPr>
          </w:p>
        </w:tc>
        <w:tc>
          <w:tcPr>
            <w:tcW w:w="3912" w:type="dxa"/>
            <w:gridSpan w:val="2"/>
          </w:tcPr>
          <w:p w14:paraId="078639CD" w14:textId="77777777" w:rsidR="00E52543" w:rsidRPr="00374A2C" w:rsidRDefault="00E52543" w:rsidP="003234F5">
            <w:pPr>
              <w:jc w:val="center"/>
              <w:rPr>
                <w:rFonts w:ascii="Calibri" w:hAnsi="Calibri" w:cs="Calibri"/>
              </w:rPr>
            </w:pPr>
            <w:r w:rsidRPr="00374A2C">
              <w:rPr>
                <w:rFonts w:ascii="Calibri" w:hAnsi="Calibri" w:cs="Calibri"/>
              </w:rPr>
              <w:t>80%</w:t>
            </w:r>
          </w:p>
        </w:tc>
        <w:tc>
          <w:tcPr>
            <w:tcW w:w="3686" w:type="dxa"/>
            <w:gridSpan w:val="2"/>
          </w:tcPr>
          <w:p w14:paraId="436412C9" w14:textId="77777777" w:rsidR="00E52543" w:rsidRPr="00374A2C" w:rsidRDefault="00E52543" w:rsidP="003234F5">
            <w:pPr>
              <w:jc w:val="center"/>
              <w:rPr>
                <w:rFonts w:ascii="Calibri" w:hAnsi="Calibri" w:cs="Calibri"/>
              </w:rPr>
            </w:pPr>
            <w:r w:rsidRPr="00374A2C">
              <w:rPr>
                <w:rFonts w:ascii="Calibri" w:hAnsi="Calibri" w:cs="Calibri"/>
              </w:rPr>
              <w:t>20</w:t>
            </w:r>
          </w:p>
        </w:tc>
        <w:tc>
          <w:tcPr>
            <w:tcW w:w="1630" w:type="dxa"/>
            <w:vMerge/>
          </w:tcPr>
          <w:p w14:paraId="71319464" w14:textId="77777777" w:rsidR="00E52543" w:rsidRPr="000A4E83" w:rsidRDefault="00E52543" w:rsidP="003234F5">
            <w:pPr>
              <w:jc w:val="center"/>
              <w:rPr>
                <w:rFonts w:ascii="Calibri" w:hAnsi="Calibri" w:cs="Calibri"/>
              </w:rPr>
            </w:pPr>
          </w:p>
        </w:tc>
      </w:tr>
      <w:tr w:rsidR="00E52543" w:rsidRPr="00374A2C" w14:paraId="1DCC07CE" w14:textId="77777777" w:rsidTr="003234F5">
        <w:trPr>
          <w:jc w:val="center"/>
        </w:trPr>
        <w:tc>
          <w:tcPr>
            <w:tcW w:w="5864" w:type="dxa"/>
            <w:vMerge/>
          </w:tcPr>
          <w:p w14:paraId="7DD18205" w14:textId="77777777" w:rsidR="00E52543" w:rsidRPr="00374A2C" w:rsidRDefault="00E52543" w:rsidP="003234F5">
            <w:pPr>
              <w:rPr>
                <w:rFonts w:ascii="Calibri" w:hAnsi="Calibri" w:cs="Calibri"/>
              </w:rPr>
            </w:pPr>
          </w:p>
        </w:tc>
        <w:tc>
          <w:tcPr>
            <w:tcW w:w="3912" w:type="dxa"/>
            <w:gridSpan w:val="2"/>
          </w:tcPr>
          <w:p w14:paraId="6975F958" w14:textId="77777777" w:rsidR="00E52543" w:rsidRPr="003234F5" w:rsidRDefault="00E52543" w:rsidP="003234F5">
            <w:pPr>
              <w:jc w:val="center"/>
              <w:rPr>
                <w:rFonts w:ascii="Calibri" w:hAnsi="Calibri" w:cs="Calibri"/>
              </w:rPr>
            </w:pPr>
            <w:r w:rsidRPr="003234F5">
              <w:rPr>
                <w:rFonts w:ascii="Calibri" w:hAnsi="Calibri" w:cs="Calibri"/>
              </w:rPr>
              <w:t>60%</w:t>
            </w:r>
          </w:p>
        </w:tc>
        <w:tc>
          <w:tcPr>
            <w:tcW w:w="3686" w:type="dxa"/>
            <w:gridSpan w:val="2"/>
          </w:tcPr>
          <w:p w14:paraId="6DEB84CD" w14:textId="77777777" w:rsidR="00E52543" w:rsidRPr="003234F5" w:rsidRDefault="00E52543" w:rsidP="003234F5">
            <w:pPr>
              <w:jc w:val="center"/>
              <w:rPr>
                <w:rFonts w:ascii="Calibri" w:hAnsi="Calibri" w:cs="Calibri"/>
              </w:rPr>
            </w:pPr>
            <w:r w:rsidRPr="003234F5">
              <w:rPr>
                <w:rFonts w:ascii="Calibri" w:hAnsi="Calibri" w:cs="Calibri"/>
              </w:rPr>
              <w:t>15</w:t>
            </w:r>
          </w:p>
        </w:tc>
        <w:tc>
          <w:tcPr>
            <w:tcW w:w="1630" w:type="dxa"/>
            <w:vMerge/>
          </w:tcPr>
          <w:p w14:paraId="7F529285" w14:textId="77777777" w:rsidR="00E52543" w:rsidRPr="000A4E83" w:rsidRDefault="00E52543" w:rsidP="003234F5">
            <w:pPr>
              <w:jc w:val="center"/>
              <w:rPr>
                <w:rFonts w:ascii="Calibri" w:hAnsi="Calibri" w:cs="Calibri"/>
              </w:rPr>
            </w:pPr>
          </w:p>
        </w:tc>
      </w:tr>
      <w:tr w:rsidR="00E52543" w:rsidRPr="00374A2C" w14:paraId="2536DC6B" w14:textId="77777777" w:rsidTr="003234F5">
        <w:trPr>
          <w:jc w:val="center"/>
        </w:trPr>
        <w:tc>
          <w:tcPr>
            <w:tcW w:w="5864" w:type="dxa"/>
            <w:vMerge/>
          </w:tcPr>
          <w:p w14:paraId="37543DAE" w14:textId="77777777" w:rsidR="00E52543" w:rsidRPr="00374A2C" w:rsidRDefault="00E52543" w:rsidP="003234F5">
            <w:pPr>
              <w:rPr>
                <w:rFonts w:ascii="Calibri" w:hAnsi="Calibri" w:cs="Calibri"/>
              </w:rPr>
            </w:pPr>
          </w:p>
        </w:tc>
        <w:tc>
          <w:tcPr>
            <w:tcW w:w="3912" w:type="dxa"/>
            <w:gridSpan w:val="2"/>
          </w:tcPr>
          <w:p w14:paraId="35CF1FDE" w14:textId="77777777" w:rsidR="00E52543" w:rsidRPr="00374A2C" w:rsidRDefault="00E52543" w:rsidP="003234F5">
            <w:pPr>
              <w:jc w:val="center"/>
              <w:rPr>
                <w:rFonts w:ascii="Calibri" w:hAnsi="Calibri" w:cs="Calibri"/>
              </w:rPr>
            </w:pPr>
            <w:r w:rsidRPr="00374A2C">
              <w:rPr>
                <w:rFonts w:ascii="Calibri" w:hAnsi="Calibri" w:cs="Calibri"/>
              </w:rPr>
              <w:t>40%</w:t>
            </w:r>
          </w:p>
        </w:tc>
        <w:tc>
          <w:tcPr>
            <w:tcW w:w="3686" w:type="dxa"/>
            <w:gridSpan w:val="2"/>
          </w:tcPr>
          <w:p w14:paraId="66065173" w14:textId="77777777" w:rsidR="00E52543" w:rsidRPr="00374A2C" w:rsidRDefault="00E52543" w:rsidP="003234F5">
            <w:pPr>
              <w:jc w:val="center"/>
              <w:rPr>
                <w:rFonts w:ascii="Calibri" w:hAnsi="Calibri" w:cs="Calibri"/>
              </w:rPr>
            </w:pPr>
            <w:r w:rsidRPr="00374A2C">
              <w:rPr>
                <w:rFonts w:ascii="Calibri" w:hAnsi="Calibri" w:cs="Calibri"/>
              </w:rPr>
              <w:t>10</w:t>
            </w:r>
          </w:p>
        </w:tc>
        <w:tc>
          <w:tcPr>
            <w:tcW w:w="1630" w:type="dxa"/>
            <w:vMerge/>
          </w:tcPr>
          <w:p w14:paraId="1B6FA5C3" w14:textId="77777777" w:rsidR="00E52543" w:rsidRPr="000A4E83" w:rsidRDefault="00E52543" w:rsidP="003234F5">
            <w:pPr>
              <w:jc w:val="center"/>
              <w:rPr>
                <w:rFonts w:ascii="Calibri" w:hAnsi="Calibri" w:cs="Calibri"/>
              </w:rPr>
            </w:pPr>
          </w:p>
        </w:tc>
      </w:tr>
      <w:tr w:rsidR="00E52543" w:rsidRPr="00374A2C" w14:paraId="34F13231" w14:textId="77777777" w:rsidTr="003234F5">
        <w:trPr>
          <w:jc w:val="center"/>
        </w:trPr>
        <w:tc>
          <w:tcPr>
            <w:tcW w:w="5864" w:type="dxa"/>
            <w:vMerge/>
          </w:tcPr>
          <w:p w14:paraId="44B2BFA6" w14:textId="77777777" w:rsidR="00E52543" w:rsidRPr="00374A2C" w:rsidRDefault="00E52543" w:rsidP="003234F5">
            <w:pPr>
              <w:rPr>
                <w:rFonts w:ascii="Calibri" w:hAnsi="Calibri" w:cs="Calibri"/>
              </w:rPr>
            </w:pPr>
          </w:p>
        </w:tc>
        <w:tc>
          <w:tcPr>
            <w:tcW w:w="3912" w:type="dxa"/>
            <w:gridSpan w:val="2"/>
          </w:tcPr>
          <w:p w14:paraId="186F27C9" w14:textId="77777777" w:rsidR="00E52543" w:rsidRPr="00374A2C" w:rsidRDefault="00E52543" w:rsidP="003234F5">
            <w:pPr>
              <w:jc w:val="center"/>
              <w:rPr>
                <w:rFonts w:ascii="Calibri" w:hAnsi="Calibri" w:cs="Calibri"/>
              </w:rPr>
            </w:pPr>
            <w:r w:rsidRPr="00374A2C">
              <w:rPr>
                <w:rFonts w:ascii="Calibri" w:hAnsi="Calibri" w:cs="Calibri"/>
              </w:rPr>
              <w:t>20%</w:t>
            </w:r>
          </w:p>
        </w:tc>
        <w:tc>
          <w:tcPr>
            <w:tcW w:w="3686" w:type="dxa"/>
            <w:gridSpan w:val="2"/>
          </w:tcPr>
          <w:p w14:paraId="7B5613BF" w14:textId="77777777" w:rsidR="00E52543" w:rsidRPr="00374A2C" w:rsidRDefault="00E52543" w:rsidP="003234F5">
            <w:pPr>
              <w:jc w:val="center"/>
              <w:rPr>
                <w:rFonts w:ascii="Calibri" w:hAnsi="Calibri" w:cs="Calibri"/>
              </w:rPr>
            </w:pPr>
            <w:r w:rsidRPr="00374A2C">
              <w:rPr>
                <w:rFonts w:ascii="Calibri" w:hAnsi="Calibri" w:cs="Calibri"/>
              </w:rPr>
              <w:t>5</w:t>
            </w:r>
          </w:p>
        </w:tc>
        <w:tc>
          <w:tcPr>
            <w:tcW w:w="1630" w:type="dxa"/>
            <w:vMerge/>
          </w:tcPr>
          <w:p w14:paraId="30407C66" w14:textId="77777777" w:rsidR="00E52543" w:rsidRPr="000A4E83" w:rsidRDefault="00E52543" w:rsidP="003234F5">
            <w:pPr>
              <w:jc w:val="center"/>
              <w:rPr>
                <w:rFonts w:ascii="Calibri" w:hAnsi="Calibri" w:cs="Calibri"/>
              </w:rPr>
            </w:pPr>
          </w:p>
        </w:tc>
      </w:tr>
      <w:tr w:rsidR="00E52543" w:rsidRPr="00374A2C" w14:paraId="754E0AE4" w14:textId="77777777" w:rsidTr="003234F5">
        <w:trPr>
          <w:jc w:val="center"/>
        </w:trPr>
        <w:tc>
          <w:tcPr>
            <w:tcW w:w="5864" w:type="dxa"/>
            <w:vMerge/>
          </w:tcPr>
          <w:p w14:paraId="241F532D" w14:textId="77777777" w:rsidR="00E52543" w:rsidRPr="00374A2C" w:rsidRDefault="00E52543" w:rsidP="003234F5">
            <w:pPr>
              <w:jc w:val="center"/>
              <w:rPr>
                <w:rFonts w:ascii="Calibri" w:hAnsi="Calibri" w:cs="Calibri"/>
              </w:rPr>
            </w:pPr>
          </w:p>
        </w:tc>
        <w:tc>
          <w:tcPr>
            <w:tcW w:w="3912" w:type="dxa"/>
            <w:gridSpan w:val="2"/>
          </w:tcPr>
          <w:p w14:paraId="60C6A2DD"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3686" w:type="dxa"/>
            <w:gridSpan w:val="2"/>
          </w:tcPr>
          <w:p w14:paraId="3F62D6FF"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1630" w:type="dxa"/>
            <w:vMerge/>
          </w:tcPr>
          <w:p w14:paraId="4DDEBEE4" w14:textId="77777777" w:rsidR="00E52543" w:rsidRPr="000A4E83" w:rsidRDefault="00E52543" w:rsidP="003234F5">
            <w:pPr>
              <w:jc w:val="center"/>
              <w:rPr>
                <w:rFonts w:ascii="Calibri" w:hAnsi="Calibri" w:cs="Calibri"/>
              </w:rPr>
            </w:pPr>
          </w:p>
        </w:tc>
      </w:tr>
      <w:tr w:rsidR="00E52543" w:rsidRPr="00374A2C" w14:paraId="463B66E6" w14:textId="77777777" w:rsidTr="003234F5">
        <w:trPr>
          <w:jc w:val="center"/>
        </w:trPr>
        <w:tc>
          <w:tcPr>
            <w:tcW w:w="5864" w:type="dxa"/>
            <w:vMerge w:val="restart"/>
          </w:tcPr>
          <w:p w14:paraId="4E04B368" w14:textId="77777777" w:rsidR="00E52543" w:rsidRPr="00374A2C" w:rsidRDefault="00E52543" w:rsidP="003234F5">
            <w:pPr>
              <w:rPr>
                <w:rFonts w:ascii="Calibri" w:hAnsi="Calibri" w:cs="Calibri"/>
                <w:b/>
                <w:bCs/>
              </w:rPr>
            </w:pPr>
            <w:r w:rsidRPr="00374A2C">
              <w:rPr>
                <w:rFonts w:ascii="Calibri" w:hAnsi="Calibri" w:cs="Calibri"/>
                <w:b/>
                <w:bCs/>
              </w:rPr>
              <w:t>Identifiable Reporting Structures</w:t>
            </w:r>
          </w:p>
          <w:p w14:paraId="256369E2" w14:textId="77777777" w:rsidR="00E52543" w:rsidRPr="00374A2C" w:rsidRDefault="00E52543" w:rsidP="003234F5">
            <w:pPr>
              <w:rPr>
                <w:rFonts w:ascii="Calibri" w:hAnsi="Calibri" w:cs="Calibri"/>
              </w:rPr>
            </w:pPr>
          </w:p>
          <w:p w14:paraId="71E1D96B" w14:textId="77777777" w:rsidR="00E52543" w:rsidRPr="00374A2C" w:rsidRDefault="00E52543" w:rsidP="003234F5">
            <w:pPr>
              <w:rPr>
                <w:rFonts w:ascii="Calibri" w:hAnsi="Calibri" w:cs="Calibri"/>
              </w:rPr>
            </w:pPr>
            <w:r w:rsidRPr="00374A2C">
              <w:rPr>
                <w:rFonts w:ascii="Calibri" w:hAnsi="Calibri" w:cs="Calibri"/>
              </w:rPr>
              <w:t>Strategic documents with explicit reporting systems including frequency and format of reports</w:t>
            </w:r>
          </w:p>
        </w:tc>
        <w:tc>
          <w:tcPr>
            <w:tcW w:w="3912" w:type="dxa"/>
            <w:gridSpan w:val="2"/>
          </w:tcPr>
          <w:p w14:paraId="005EC14E" w14:textId="77777777" w:rsidR="00E52543" w:rsidRPr="00374A2C" w:rsidRDefault="00E52543" w:rsidP="003234F5">
            <w:pPr>
              <w:jc w:val="center"/>
              <w:rPr>
                <w:rFonts w:ascii="Calibri" w:hAnsi="Calibri" w:cs="Calibri"/>
              </w:rPr>
            </w:pPr>
            <w:r w:rsidRPr="00374A2C">
              <w:rPr>
                <w:rFonts w:ascii="Calibri" w:hAnsi="Calibri" w:cs="Calibri"/>
                <w:b/>
                <w:bCs/>
              </w:rPr>
              <w:t>Proportion (%) of Policies with Identified Systems for Reporting Delivery of Actions</w:t>
            </w:r>
          </w:p>
        </w:tc>
        <w:tc>
          <w:tcPr>
            <w:tcW w:w="3686" w:type="dxa"/>
            <w:gridSpan w:val="2"/>
          </w:tcPr>
          <w:p w14:paraId="4E2A824F" w14:textId="77777777" w:rsidR="00E52543" w:rsidRPr="00374A2C" w:rsidRDefault="00E52543" w:rsidP="003234F5">
            <w:pPr>
              <w:jc w:val="center"/>
              <w:rPr>
                <w:rFonts w:ascii="Calibri" w:hAnsi="Calibri" w:cs="Calibri"/>
                <w:b/>
                <w:bCs/>
              </w:rPr>
            </w:pPr>
            <w:r w:rsidRPr="00374A2C">
              <w:rPr>
                <w:rFonts w:ascii="Calibri" w:hAnsi="Calibri" w:cs="Calibri"/>
                <w:b/>
                <w:bCs/>
              </w:rPr>
              <w:t>Score</w:t>
            </w:r>
          </w:p>
        </w:tc>
        <w:tc>
          <w:tcPr>
            <w:tcW w:w="1630" w:type="dxa"/>
            <w:vMerge w:val="restart"/>
          </w:tcPr>
          <w:p w14:paraId="4FD5FAA6" w14:textId="77777777" w:rsidR="00E52543" w:rsidRPr="00BD0171" w:rsidRDefault="00E52543" w:rsidP="003234F5">
            <w:pPr>
              <w:rPr>
                <w:rFonts w:ascii="Calibri" w:hAnsi="Calibri" w:cs="Calibri"/>
              </w:rPr>
            </w:pPr>
          </w:p>
          <w:p w14:paraId="5EFD9462" w14:textId="77777777" w:rsidR="00E52543" w:rsidRPr="000A4E83" w:rsidRDefault="00E52543" w:rsidP="003234F5">
            <w:pPr>
              <w:jc w:val="center"/>
              <w:rPr>
                <w:rFonts w:ascii="Calibri" w:hAnsi="Calibri" w:cs="Calibri"/>
              </w:rPr>
            </w:pPr>
          </w:p>
          <w:p w14:paraId="41326AE3" w14:textId="77777777" w:rsidR="00E52543" w:rsidRPr="00BD0171" w:rsidRDefault="00E52543" w:rsidP="003234F5">
            <w:pPr>
              <w:jc w:val="center"/>
              <w:rPr>
                <w:rFonts w:ascii="Calibri" w:hAnsi="Calibri" w:cs="Calibri"/>
              </w:rPr>
            </w:pPr>
            <w:r>
              <w:rPr>
                <w:rFonts w:ascii="Calibri" w:hAnsi="Calibri" w:cs="Calibri"/>
              </w:rPr>
              <w:t>5</w:t>
            </w:r>
          </w:p>
        </w:tc>
      </w:tr>
      <w:tr w:rsidR="00E52543" w:rsidRPr="00374A2C" w14:paraId="117ECEE0" w14:textId="77777777" w:rsidTr="003234F5">
        <w:trPr>
          <w:jc w:val="center"/>
        </w:trPr>
        <w:tc>
          <w:tcPr>
            <w:tcW w:w="5864" w:type="dxa"/>
            <w:vMerge/>
          </w:tcPr>
          <w:p w14:paraId="6FE756A0" w14:textId="77777777" w:rsidR="00E52543" w:rsidRPr="00374A2C" w:rsidRDefault="00E52543" w:rsidP="003234F5">
            <w:pPr>
              <w:rPr>
                <w:rFonts w:ascii="Calibri" w:hAnsi="Calibri" w:cs="Calibri"/>
              </w:rPr>
            </w:pPr>
          </w:p>
        </w:tc>
        <w:tc>
          <w:tcPr>
            <w:tcW w:w="3912" w:type="dxa"/>
            <w:gridSpan w:val="2"/>
          </w:tcPr>
          <w:p w14:paraId="18F3267F" w14:textId="77777777" w:rsidR="00E52543" w:rsidRPr="00374A2C" w:rsidRDefault="00E52543" w:rsidP="003234F5">
            <w:pPr>
              <w:jc w:val="center"/>
              <w:rPr>
                <w:rFonts w:ascii="Calibri" w:hAnsi="Calibri" w:cs="Calibri"/>
              </w:rPr>
            </w:pPr>
            <w:r w:rsidRPr="00374A2C">
              <w:rPr>
                <w:rFonts w:ascii="Calibri" w:hAnsi="Calibri" w:cs="Calibri"/>
              </w:rPr>
              <w:t>100%</w:t>
            </w:r>
          </w:p>
        </w:tc>
        <w:tc>
          <w:tcPr>
            <w:tcW w:w="3686" w:type="dxa"/>
            <w:gridSpan w:val="2"/>
          </w:tcPr>
          <w:p w14:paraId="43189F0B" w14:textId="77777777" w:rsidR="00E52543" w:rsidRPr="00374A2C" w:rsidRDefault="00E52543" w:rsidP="003234F5">
            <w:pPr>
              <w:jc w:val="center"/>
              <w:rPr>
                <w:rFonts w:ascii="Calibri" w:hAnsi="Calibri" w:cs="Calibri"/>
              </w:rPr>
            </w:pPr>
            <w:r w:rsidRPr="00374A2C">
              <w:rPr>
                <w:rFonts w:ascii="Calibri" w:hAnsi="Calibri" w:cs="Calibri"/>
              </w:rPr>
              <w:t>15</w:t>
            </w:r>
          </w:p>
        </w:tc>
        <w:tc>
          <w:tcPr>
            <w:tcW w:w="1630" w:type="dxa"/>
            <w:vMerge/>
          </w:tcPr>
          <w:p w14:paraId="229A38B9" w14:textId="77777777" w:rsidR="00E52543" w:rsidRPr="00374A2C" w:rsidRDefault="00E52543" w:rsidP="003234F5">
            <w:pPr>
              <w:rPr>
                <w:rFonts w:ascii="Calibri" w:hAnsi="Calibri" w:cs="Calibri"/>
              </w:rPr>
            </w:pPr>
          </w:p>
        </w:tc>
      </w:tr>
      <w:tr w:rsidR="00E52543" w:rsidRPr="00374A2C" w14:paraId="3C6E1A4B" w14:textId="77777777" w:rsidTr="003234F5">
        <w:trPr>
          <w:jc w:val="center"/>
        </w:trPr>
        <w:tc>
          <w:tcPr>
            <w:tcW w:w="5864" w:type="dxa"/>
            <w:vMerge/>
          </w:tcPr>
          <w:p w14:paraId="48D32DA8" w14:textId="77777777" w:rsidR="00E52543" w:rsidRPr="00374A2C" w:rsidRDefault="00E52543" w:rsidP="003234F5">
            <w:pPr>
              <w:rPr>
                <w:rFonts w:ascii="Calibri" w:hAnsi="Calibri" w:cs="Calibri"/>
              </w:rPr>
            </w:pPr>
          </w:p>
        </w:tc>
        <w:tc>
          <w:tcPr>
            <w:tcW w:w="3912" w:type="dxa"/>
            <w:gridSpan w:val="2"/>
          </w:tcPr>
          <w:p w14:paraId="688B6E67" w14:textId="77777777" w:rsidR="00E52543" w:rsidRPr="00374A2C" w:rsidRDefault="00E52543" w:rsidP="003234F5">
            <w:pPr>
              <w:jc w:val="center"/>
              <w:rPr>
                <w:rFonts w:ascii="Calibri" w:hAnsi="Calibri" w:cs="Calibri"/>
              </w:rPr>
            </w:pPr>
            <w:r w:rsidRPr="00374A2C">
              <w:rPr>
                <w:rFonts w:ascii="Calibri" w:hAnsi="Calibri" w:cs="Calibri"/>
              </w:rPr>
              <w:t>75%</w:t>
            </w:r>
          </w:p>
        </w:tc>
        <w:tc>
          <w:tcPr>
            <w:tcW w:w="3686" w:type="dxa"/>
            <w:gridSpan w:val="2"/>
          </w:tcPr>
          <w:p w14:paraId="48176698" w14:textId="77777777" w:rsidR="00E52543" w:rsidRPr="00374A2C" w:rsidRDefault="00E52543" w:rsidP="003234F5">
            <w:pPr>
              <w:jc w:val="center"/>
              <w:rPr>
                <w:rFonts w:ascii="Calibri" w:hAnsi="Calibri" w:cs="Calibri"/>
              </w:rPr>
            </w:pPr>
            <w:r w:rsidRPr="00374A2C">
              <w:rPr>
                <w:rFonts w:ascii="Calibri" w:hAnsi="Calibri" w:cs="Calibri"/>
              </w:rPr>
              <w:t>12.5</w:t>
            </w:r>
          </w:p>
        </w:tc>
        <w:tc>
          <w:tcPr>
            <w:tcW w:w="1630" w:type="dxa"/>
            <w:vMerge/>
          </w:tcPr>
          <w:p w14:paraId="44C7B4C1" w14:textId="77777777" w:rsidR="00E52543" w:rsidRPr="00374A2C" w:rsidRDefault="00E52543" w:rsidP="003234F5">
            <w:pPr>
              <w:rPr>
                <w:rFonts w:ascii="Calibri" w:hAnsi="Calibri" w:cs="Calibri"/>
              </w:rPr>
            </w:pPr>
          </w:p>
        </w:tc>
      </w:tr>
      <w:tr w:rsidR="00E52543" w:rsidRPr="00374A2C" w14:paraId="12835C74" w14:textId="77777777" w:rsidTr="003234F5">
        <w:trPr>
          <w:jc w:val="center"/>
        </w:trPr>
        <w:tc>
          <w:tcPr>
            <w:tcW w:w="5864" w:type="dxa"/>
            <w:vMerge/>
          </w:tcPr>
          <w:p w14:paraId="66F38257" w14:textId="77777777" w:rsidR="00E52543" w:rsidRPr="00374A2C" w:rsidRDefault="00E52543" w:rsidP="003234F5">
            <w:pPr>
              <w:rPr>
                <w:rFonts w:ascii="Calibri" w:hAnsi="Calibri" w:cs="Calibri"/>
              </w:rPr>
            </w:pPr>
          </w:p>
        </w:tc>
        <w:tc>
          <w:tcPr>
            <w:tcW w:w="3912" w:type="dxa"/>
            <w:gridSpan w:val="2"/>
          </w:tcPr>
          <w:p w14:paraId="26DC2E4E" w14:textId="77777777" w:rsidR="00E52543" w:rsidRPr="00374A2C" w:rsidRDefault="00E52543" w:rsidP="003234F5">
            <w:pPr>
              <w:jc w:val="center"/>
              <w:rPr>
                <w:rFonts w:ascii="Calibri" w:hAnsi="Calibri" w:cs="Calibri"/>
              </w:rPr>
            </w:pPr>
            <w:r w:rsidRPr="00374A2C">
              <w:rPr>
                <w:rFonts w:ascii="Calibri" w:hAnsi="Calibri" w:cs="Calibri"/>
              </w:rPr>
              <w:t>67%</w:t>
            </w:r>
          </w:p>
        </w:tc>
        <w:tc>
          <w:tcPr>
            <w:tcW w:w="3686" w:type="dxa"/>
            <w:gridSpan w:val="2"/>
          </w:tcPr>
          <w:p w14:paraId="67E932FC" w14:textId="77777777" w:rsidR="00E52543" w:rsidRPr="00374A2C" w:rsidRDefault="00E52543" w:rsidP="003234F5">
            <w:pPr>
              <w:jc w:val="center"/>
              <w:rPr>
                <w:rFonts w:ascii="Calibri" w:hAnsi="Calibri" w:cs="Calibri"/>
              </w:rPr>
            </w:pPr>
            <w:r w:rsidRPr="00374A2C">
              <w:rPr>
                <w:rFonts w:ascii="Calibri" w:hAnsi="Calibri" w:cs="Calibri"/>
              </w:rPr>
              <w:t>10</w:t>
            </w:r>
          </w:p>
        </w:tc>
        <w:tc>
          <w:tcPr>
            <w:tcW w:w="1630" w:type="dxa"/>
            <w:vMerge/>
          </w:tcPr>
          <w:p w14:paraId="7855E6C7" w14:textId="77777777" w:rsidR="00E52543" w:rsidRPr="00374A2C" w:rsidRDefault="00E52543" w:rsidP="003234F5">
            <w:pPr>
              <w:rPr>
                <w:rFonts w:ascii="Calibri" w:hAnsi="Calibri" w:cs="Calibri"/>
              </w:rPr>
            </w:pPr>
          </w:p>
        </w:tc>
      </w:tr>
      <w:tr w:rsidR="00E52543" w:rsidRPr="00374A2C" w14:paraId="123A4901" w14:textId="77777777" w:rsidTr="003234F5">
        <w:trPr>
          <w:jc w:val="center"/>
        </w:trPr>
        <w:tc>
          <w:tcPr>
            <w:tcW w:w="5864" w:type="dxa"/>
            <w:vMerge/>
          </w:tcPr>
          <w:p w14:paraId="547E80DE" w14:textId="77777777" w:rsidR="00E52543" w:rsidRPr="00374A2C" w:rsidRDefault="00E52543" w:rsidP="003234F5">
            <w:pPr>
              <w:rPr>
                <w:rFonts w:ascii="Calibri" w:hAnsi="Calibri" w:cs="Calibri"/>
              </w:rPr>
            </w:pPr>
          </w:p>
        </w:tc>
        <w:tc>
          <w:tcPr>
            <w:tcW w:w="3912" w:type="dxa"/>
            <w:gridSpan w:val="2"/>
          </w:tcPr>
          <w:p w14:paraId="14229D5E" w14:textId="77777777" w:rsidR="00E52543" w:rsidRPr="00374A2C" w:rsidRDefault="00E52543" w:rsidP="003234F5">
            <w:pPr>
              <w:jc w:val="center"/>
              <w:rPr>
                <w:rFonts w:ascii="Calibri" w:hAnsi="Calibri" w:cs="Calibri"/>
              </w:rPr>
            </w:pPr>
            <w:r w:rsidRPr="00374A2C">
              <w:rPr>
                <w:rFonts w:ascii="Calibri" w:hAnsi="Calibri" w:cs="Calibri"/>
              </w:rPr>
              <w:t>50%</w:t>
            </w:r>
          </w:p>
        </w:tc>
        <w:tc>
          <w:tcPr>
            <w:tcW w:w="3686" w:type="dxa"/>
            <w:gridSpan w:val="2"/>
          </w:tcPr>
          <w:p w14:paraId="0EFBD506" w14:textId="77777777" w:rsidR="00E52543" w:rsidRPr="00374A2C" w:rsidRDefault="00E52543" w:rsidP="003234F5">
            <w:pPr>
              <w:jc w:val="center"/>
              <w:rPr>
                <w:rFonts w:ascii="Calibri" w:hAnsi="Calibri" w:cs="Calibri"/>
              </w:rPr>
            </w:pPr>
            <w:r w:rsidRPr="00374A2C">
              <w:rPr>
                <w:rFonts w:ascii="Calibri" w:hAnsi="Calibri" w:cs="Calibri"/>
              </w:rPr>
              <w:t>7.5</w:t>
            </w:r>
          </w:p>
        </w:tc>
        <w:tc>
          <w:tcPr>
            <w:tcW w:w="1630" w:type="dxa"/>
            <w:vMerge/>
          </w:tcPr>
          <w:p w14:paraId="6E2811A8" w14:textId="77777777" w:rsidR="00E52543" w:rsidRPr="00374A2C" w:rsidRDefault="00E52543" w:rsidP="003234F5">
            <w:pPr>
              <w:rPr>
                <w:rFonts w:ascii="Calibri" w:hAnsi="Calibri" w:cs="Calibri"/>
              </w:rPr>
            </w:pPr>
          </w:p>
        </w:tc>
      </w:tr>
      <w:tr w:rsidR="00E52543" w:rsidRPr="00374A2C" w14:paraId="232E4997" w14:textId="77777777" w:rsidTr="003234F5">
        <w:trPr>
          <w:jc w:val="center"/>
        </w:trPr>
        <w:tc>
          <w:tcPr>
            <w:tcW w:w="5864" w:type="dxa"/>
            <w:vMerge/>
          </w:tcPr>
          <w:p w14:paraId="610F5F49" w14:textId="77777777" w:rsidR="00E52543" w:rsidRPr="00374A2C" w:rsidRDefault="00E52543" w:rsidP="003234F5">
            <w:pPr>
              <w:rPr>
                <w:rFonts w:ascii="Calibri" w:hAnsi="Calibri" w:cs="Calibri"/>
              </w:rPr>
            </w:pPr>
          </w:p>
        </w:tc>
        <w:tc>
          <w:tcPr>
            <w:tcW w:w="3912" w:type="dxa"/>
            <w:gridSpan w:val="2"/>
          </w:tcPr>
          <w:p w14:paraId="25C76F01" w14:textId="77777777" w:rsidR="00E52543" w:rsidRPr="008477B8" w:rsidRDefault="00E52543" w:rsidP="003234F5">
            <w:pPr>
              <w:jc w:val="center"/>
              <w:rPr>
                <w:rFonts w:ascii="Calibri" w:hAnsi="Calibri" w:cs="Calibri"/>
                <w:b/>
                <w:bCs/>
                <w:u w:val="single"/>
              </w:rPr>
            </w:pPr>
            <w:r w:rsidRPr="008477B8">
              <w:rPr>
                <w:rFonts w:ascii="Calibri" w:hAnsi="Calibri" w:cs="Calibri"/>
                <w:b/>
                <w:bCs/>
                <w:u w:val="single"/>
              </w:rPr>
              <w:t>33%</w:t>
            </w:r>
          </w:p>
        </w:tc>
        <w:tc>
          <w:tcPr>
            <w:tcW w:w="3686" w:type="dxa"/>
            <w:gridSpan w:val="2"/>
          </w:tcPr>
          <w:p w14:paraId="6EFA3A06" w14:textId="77777777" w:rsidR="00E52543" w:rsidRPr="008477B8" w:rsidRDefault="00E52543" w:rsidP="003234F5">
            <w:pPr>
              <w:jc w:val="center"/>
              <w:rPr>
                <w:rFonts w:ascii="Calibri" w:hAnsi="Calibri" w:cs="Calibri"/>
                <w:b/>
                <w:bCs/>
                <w:u w:val="single"/>
              </w:rPr>
            </w:pPr>
            <w:r w:rsidRPr="008477B8">
              <w:rPr>
                <w:rFonts w:ascii="Calibri" w:hAnsi="Calibri" w:cs="Calibri"/>
                <w:b/>
                <w:bCs/>
                <w:u w:val="single"/>
              </w:rPr>
              <w:t>5</w:t>
            </w:r>
          </w:p>
        </w:tc>
        <w:tc>
          <w:tcPr>
            <w:tcW w:w="1630" w:type="dxa"/>
            <w:vMerge/>
          </w:tcPr>
          <w:p w14:paraId="1090EF05" w14:textId="77777777" w:rsidR="00E52543" w:rsidRPr="00374A2C" w:rsidRDefault="00E52543" w:rsidP="003234F5">
            <w:pPr>
              <w:rPr>
                <w:rFonts w:ascii="Calibri" w:hAnsi="Calibri" w:cs="Calibri"/>
              </w:rPr>
            </w:pPr>
          </w:p>
        </w:tc>
      </w:tr>
      <w:tr w:rsidR="00E52543" w:rsidRPr="00374A2C" w14:paraId="2E5F9C53" w14:textId="77777777" w:rsidTr="003234F5">
        <w:trPr>
          <w:jc w:val="center"/>
        </w:trPr>
        <w:tc>
          <w:tcPr>
            <w:tcW w:w="5864" w:type="dxa"/>
            <w:vMerge/>
          </w:tcPr>
          <w:p w14:paraId="41C9F73A" w14:textId="77777777" w:rsidR="00E52543" w:rsidRPr="00374A2C" w:rsidRDefault="00E52543" w:rsidP="003234F5">
            <w:pPr>
              <w:rPr>
                <w:rFonts w:ascii="Calibri" w:hAnsi="Calibri" w:cs="Calibri"/>
              </w:rPr>
            </w:pPr>
          </w:p>
        </w:tc>
        <w:tc>
          <w:tcPr>
            <w:tcW w:w="3912" w:type="dxa"/>
            <w:gridSpan w:val="2"/>
          </w:tcPr>
          <w:p w14:paraId="7C1E4FF2" w14:textId="77777777" w:rsidR="00E52543" w:rsidRPr="00374A2C" w:rsidRDefault="00E52543" w:rsidP="003234F5">
            <w:pPr>
              <w:jc w:val="center"/>
              <w:rPr>
                <w:rFonts w:ascii="Calibri" w:hAnsi="Calibri" w:cs="Calibri"/>
              </w:rPr>
            </w:pPr>
            <w:r w:rsidRPr="00374A2C">
              <w:rPr>
                <w:rFonts w:ascii="Calibri" w:hAnsi="Calibri" w:cs="Calibri"/>
              </w:rPr>
              <w:t>20%</w:t>
            </w:r>
          </w:p>
        </w:tc>
        <w:tc>
          <w:tcPr>
            <w:tcW w:w="3686" w:type="dxa"/>
            <w:gridSpan w:val="2"/>
          </w:tcPr>
          <w:p w14:paraId="31EDFBFD" w14:textId="77777777" w:rsidR="00E52543" w:rsidRPr="00374A2C" w:rsidRDefault="00E52543" w:rsidP="003234F5">
            <w:pPr>
              <w:jc w:val="center"/>
              <w:rPr>
                <w:rFonts w:ascii="Calibri" w:hAnsi="Calibri" w:cs="Calibri"/>
              </w:rPr>
            </w:pPr>
            <w:r w:rsidRPr="00374A2C">
              <w:rPr>
                <w:rFonts w:ascii="Calibri" w:hAnsi="Calibri" w:cs="Calibri"/>
              </w:rPr>
              <w:t>3</w:t>
            </w:r>
          </w:p>
        </w:tc>
        <w:tc>
          <w:tcPr>
            <w:tcW w:w="1630" w:type="dxa"/>
            <w:vMerge/>
          </w:tcPr>
          <w:p w14:paraId="11E8E32B" w14:textId="77777777" w:rsidR="00E52543" w:rsidRPr="00374A2C" w:rsidRDefault="00E52543" w:rsidP="003234F5">
            <w:pPr>
              <w:rPr>
                <w:rFonts w:ascii="Calibri" w:hAnsi="Calibri" w:cs="Calibri"/>
              </w:rPr>
            </w:pPr>
          </w:p>
        </w:tc>
      </w:tr>
      <w:tr w:rsidR="00E52543" w:rsidRPr="00374A2C" w14:paraId="4DB29CDE" w14:textId="77777777" w:rsidTr="003234F5">
        <w:trPr>
          <w:jc w:val="center"/>
        </w:trPr>
        <w:tc>
          <w:tcPr>
            <w:tcW w:w="5864" w:type="dxa"/>
            <w:vMerge/>
          </w:tcPr>
          <w:p w14:paraId="24FCDC5E" w14:textId="77777777" w:rsidR="00E52543" w:rsidRPr="00374A2C" w:rsidRDefault="00E52543" w:rsidP="003234F5">
            <w:pPr>
              <w:rPr>
                <w:rFonts w:ascii="Calibri" w:hAnsi="Calibri" w:cs="Calibri"/>
              </w:rPr>
            </w:pPr>
          </w:p>
        </w:tc>
        <w:tc>
          <w:tcPr>
            <w:tcW w:w="3912" w:type="dxa"/>
            <w:gridSpan w:val="2"/>
          </w:tcPr>
          <w:p w14:paraId="139ECF2E"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3686" w:type="dxa"/>
            <w:gridSpan w:val="2"/>
          </w:tcPr>
          <w:p w14:paraId="4E7EC0B2"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1630" w:type="dxa"/>
            <w:vMerge/>
          </w:tcPr>
          <w:p w14:paraId="6FB35436" w14:textId="77777777" w:rsidR="00E52543" w:rsidRPr="00374A2C" w:rsidRDefault="00E52543" w:rsidP="003234F5">
            <w:pPr>
              <w:rPr>
                <w:rFonts w:ascii="Calibri" w:hAnsi="Calibri" w:cs="Calibri"/>
              </w:rPr>
            </w:pPr>
          </w:p>
        </w:tc>
      </w:tr>
      <w:tr w:rsidR="00E52543" w:rsidRPr="00374A2C" w14:paraId="0AC12ED2" w14:textId="77777777" w:rsidTr="003234F5">
        <w:trPr>
          <w:jc w:val="center"/>
        </w:trPr>
        <w:tc>
          <w:tcPr>
            <w:tcW w:w="5864" w:type="dxa"/>
            <w:vMerge w:val="restart"/>
          </w:tcPr>
          <w:p w14:paraId="5838D739" w14:textId="77777777" w:rsidR="00E52543" w:rsidRPr="00374A2C" w:rsidRDefault="00E52543" w:rsidP="003234F5">
            <w:pPr>
              <w:rPr>
                <w:rFonts w:ascii="Calibri" w:hAnsi="Calibri" w:cs="Calibri"/>
                <w:b/>
                <w:bCs/>
              </w:rPr>
            </w:pPr>
            <w:r w:rsidRPr="00374A2C">
              <w:rPr>
                <w:rFonts w:ascii="Calibri" w:hAnsi="Calibri" w:cs="Calibri"/>
                <w:b/>
                <w:bCs/>
              </w:rPr>
              <w:t>Identified Funding</w:t>
            </w:r>
          </w:p>
          <w:p w14:paraId="17A59919" w14:textId="77777777" w:rsidR="00E52543" w:rsidRPr="00374A2C" w:rsidRDefault="00E52543" w:rsidP="003234F5">
            <w:pPr>
              <w:rPr>
                <w:rFonts w:ascii="Calibri" w:hAnsi="Calibri" w:cs="Calibri"/>
              </w:rPr>
            </w:pPr>
          </w:p>
          <w:p w14:paraId="46EF236E" w14:textId="77777777" w:rsidR="00E52543" w:rsidRPr="00374A2C" w:rsidRDefault="00E52543" w:rsidP="003234F5">
            <w:pPr>
              <w:rPr>
                <w:rFonts w:ascii="Calibri" w:hAnsi="Calibri" w:cs="Calibri"/>
              </w:rPr>
            </w:pPr>
            <w:r w:rsidRPr="00374A2C">
              <w:rPr>
                <w:rFonts w:ascii="Calibri" w:hAnsi="Calibri" w:cs="Calibri"/>
              </w:rPr>
              <w:t>Explicit references to funding to support identified actions</w:t>
            </w:r>
          </w:p>
        </w:tc>
        <w:tc>
          <w:tcPr>
            <w:tcW w:w="3912" w:type="dxa"/>
            <w:gridSpan w:val="2"/>
          </w:tcPr>
          <w:p w14:paraId="5F2F1A83" w14:textId="77777777" w:rsidR="00E52543" w:rsidRPr="00374A2C" w:rsidRDefault="00E52543" w:rsidP="003234F5">
            <w:pPr>
              <w:jc w:val="center"/>
              <w:rPr>
                <w:rFonts w:ascii="Calibri" w:hAnsi="Calibri" w:cs="Calibri"/>
              </w:rPr>
            </w:pPr>
            <w:r w:rsidRPr="00374A2C">
              <w:rPr>
                <w:rFonts w:ascii="Calibri" w:hAnsi="Calibri" w:cs="Calibri"/>
                <w:b/>
                <w:bCs/>
              </w:rPr>
              <w:t>Proportion (%) of Policies with Identified Funding Sources</w:t>
            </w:r>
          </w:p>
        </w:tc>
        <w:tc>
          <w:tcPr>
            <w:tcW w:w="3686" w:type="dxa"/>
            <w:gridSpan w:val="2"/>
          </w:tcPr>
          <w:p w14:paraId="2D18EE7B" w14:textId="77777777" w:rsidR="00E52543" w:rsidRPr="00374A2C" w:rsidRDefault="00E52543" w:rsidP="003234F5">
            <w:pPr>
              <w:jc w:val="center"/>
              <w:rPr>
                <w:rFonts w:ascii="Calibri" w:hAnsi="Calibri" w:cs="Calibri"/>
                <w:b/>
                <w:bCs/>
              </w:rPr>
            </w:pPr>
            <w:r w:rsidRPr="00374A2C">
              <w:rPr>
                <w:rFonts w:ascii="Calibri" w:hAnsi="Calibri" w:cs="Calibri"/>
                <w:b/>
                <w:bCs/>
              </w:rPr>
              <w:t>Score</w:t>
            </w:r>
          </w:p>
        </w:tc>
        <w:tc>
          <w:tcPr>
            <w:tcW w:w="1630" w:type="dxa"/>
            <w:vMerge w:val="restart"/>
          </w:tcPr>
          <w:p w14:paraId="3081A4D3" w14:textId="77777777" w:rsidR="00E52543" w:rsidRPr="00374A2C" w:rsidRDefault="00E52543" w:rsidP="003234F5">
            <w:pPr>
              <w:rPr>
                <w:rFonts w:ascii="Calibri" w:hAnsi="Calibri" w:cs="Calibri"/>
              </w:rPr>
            </w:pPr>
          </w:p>
          <w:p w14:paraId="789CF8B5" w14:textId="77777777" w:rsidR="00E52543" w:rsidRDefault="00E52543" w:rsidP="003234F5">
            <w:pPr>
              <w:jc w:val="center"/>
              <w:rPr>
                <w:rFonts w:ascii="Calibri" w:hAnsi="Calibri" w:cs="Calibri"/>
              </w:rPr>
            </w:pPr>
          </w:p>
          <w:p w14:paraId="38FE3197" w14:textId="77777777" w:rsidR="00E52543" w:rsidRPr="00374A2C" w:rsidRDefault="00E52543" w:rsidP="003234F5">
            <w:pPr>
              <w:jc w:val="center"/>
              <w:rPr>
                <w:rFonts w:ascii="Calibri" w:hAnsi="Calibri" w:cs="Calibri"/>
              </w:rPr>
            </w:pPr>
            <w:r>
              <w:rPr>
                <w:rFonts w:ascii="Calibri" w:hAnsi="Calibri" w:cs="Calibri"/>
              </w:rPr>
              <w:t>10</w:t>
            </w:r>
          </w:p>
        </w:tc>
      </w:tr>
      <w:tr w:rsidR="00E52543" w:rsidRPr="00374A2C" w14:paraId="4B4F47DB" w14:textId="77777777" w:rsidTr="003234F5">
        <w:trPr>
          <w:jc w:val="center"/>
        </w:trPr>
        <w:tc>
          <w:tcPr>
            <w:tcW w:w="5864" w:type="dxa"/>
            <w:vMerge/>
          </w:tcPr>
          <w:p w14:paraId="302DF446" w14:textId="77777777" w:rsidR="00E52543" w:rsidRPr="00374A2C" w:rsidRDefault="00E52543" w:rsidP="003234F5">
            <w:pPr>
              <w:rPr>
                <w:rFonts w:ascii="Calibri" w:hAnsi="Calibri" w:cs="Calibri"/>
              </w:rPr>
            </w:pPr>
          </w:p>
        </w:tc>
        <w:tc>
          <w:tcPr>
            <w:tcW w:w="3912" w:type="dxa"/>
            <w:gridSpan w:val="2"/>
          </w:tcPr>
          <w:p w14:paraId="6E00EDEE" w14:textId="77777777" w:rsidR="00E52543" w:rsidRPr="00374A2C" w:rsidRDefault="00E52543" w:rsidP="003234F5">
            <w:pPr>
              <w:jc w:val="center"/>
              <w:rPr>
                <w:rFonts w:ascii="Calibri" w:hAnsi="Calibri" w:cs="Calibri"/>
              </w:rPr>
            </w:pPr>
            <w:r w:rsidRPr="00374A2C">
              <w:rPr>
                <w:rFonts w:ascii="Calibri" w:hAnsi="Calibri" w:cs="Calibri"/>
              </w:rPr>
              <w:t>100%</w:t>
            </w:r>
          </w:p>
        </w:tc>
        <w:tc>
          <w:tcPr>
            <w:tcW w:w="3686" w:type="dxa"/>
            <w:gridSpan w:val="2"/>
          </w:tcPr>
          <w:p w14:paraId="34B4AEC2" w14:textId="77777777" w:rsidR="00E52543" w:rsidRPr="00374A2C" w:rsidRDefault="00E52543" w:rsidP="003234F5">
            <w:pPr>
              <w:jc w:val="center"/>
              <w:rPr>
                <w:rFonts w:ascii="Calibri" w:hAnsi="Calibri" w:cs="Calibri"/>
              </w:rPr>
            </w:pPr>
            <w:r w:rsidRPr="00374A2C">
              <w:rPr>
                <w:rFonts w:ascii="Calibri" w:hAnsi="Calibri" w:cs="Calibri"/>
              </w:rPr>
              <w:t>20</w:t>
            </w:r>
          </w:p>
        </w:tc>
        <w:tc>
          <w:tcPr>
            <w:tcW w:w="1630" w:type="dxa"/>
            <w:vMerge/>
          </w:tcPr>
          <w:p w14:paraId="12A12684" w14:textId="77777777" w:rsidR="00E52543" w:rsidRPr="00374A2C" w:rsidRDefault="00E52543" w:rsidP="003234F5">
            <w:pPr>
              <w:rPr>
                <w:rFonts w:ascii="Calibri" w:hAnsi="Calibri" w:cs="Calibri"/>
              </w:rPr>
            </w:pPr>
          </w:p>
        </w:tc>
      </w:tr>
      <w:tr w:rsidR="00E52543" w:rsidRPr="00374A2C" w14:paraId="36103ACE" w14:textId="77777777" w:rsidTr="003234F5">
        <w:trPr>
          <w:jc w:val="center"/>
        </w:trPr>
        <w:tc>
          <w:tcPr>
            <w:tcW w:w="5864" w:type="dxa"/>
            <w:vMerge/>
          </w:tcPr>
          <w:p w14:paraId="3B847559" w14:textId="77777777" w:rsidR="00E52543" w:rsidRPr="00374A2C" w:rsidRDefault="00E52543" w:rsidP="003234F5">
            <w:pPr>
              <w:rPr>
                <w:rFonts w:ascii="Calibri" w:hAnsi="Calibri" w:cs="Calibri"/>
              </w:rPr>
            </w:pPr>
          </w:p>
        </w:tc>
        <w:tc>
          <w:tcPr>
            <w:tcW w:w="3912" w:type="dxa"/>
            <w:gridSpan w:val="2"/>
          </w:tcPr>
          <w:p w14:paraId="6396BA89" w14:textId="77777777" w:rsidR="00E52543" w:rsidRPr="00374A2C" w:rsidRDefault="00E52543" w:rsidP="003234F5">
            <w:pPr>
              <w:jc w:val="center"/>
              <w:rPr>
                <w:rFonts w:ascii="Calibri" w:hAnsi="Calibri" w:cs="Calibri"/>
              </w:rPr>
            </w:pPr>
            <w:r w:rsidRPr="00374A2C">
              <w:rPr>
                <w:rFonts w:ascii="Calibri" w:hAnsi="Calibri" w:cs="Calibri"/>
              </w:rPr>
              <w:t>75%</w:t>
            </w:r>
          </w:p>
        </w:tc>
        <w:tc>
          <w:tcPr>
            <w:tcW w:w="3686" w:type="dxa"/>
            <w:gridSpan w:val="2"/>
          </w:tcPr>
          <w:p w14:paraId="287F067E" w14:textId="77777777" w:rsidR="00E52543" w:rsidRPr="00374A2C" w:rsidRDefault="00E52543" w:rsidP="003234F5">
            <w:pPr>
              <w:jc w:val="center"/>
              <w:rPr>
                <w:rFonts w:ascii="Calibri" w:hAnsi="Calibri" w:cs="Calibri"/>
              </w:rPr>
            </w:pPr>
            <w:r w:rsidRPr="00374A2C">
              <w:rPr>
                <w:rFonts w:ascii="Calibri" w:hAnsi="Calibri" w:cs="Calibri"/>
              </w:rPr>
              <w:t>15</w:t>
            </w:r>
          </w:p>
        </w:tc>
        <w:tc>
          <w:tcPr>
            <w:tcW w:w="1630" w:type="dxa"/>
            <w:vMerge/>
          </w:tcPr>
          <w:p w14:paraId="2C28D8C1" w14:textId="77777777" w:rsidR="00E52543" w:rsidRPr="00374A2C" w:rsidRDefault="00E52543" w:rsidP="003234F5">
            <w:pPr>
              <w:rPr>
                <w:rFonts w:ascii="Calibri" w:hAnsi="Calibri" w:cs="Calibri"/>
              </w:rPr>
            </w:pPr>
          </w:p>
        </w:tc>
      </w:tr>
      <w:tr w:rsidR="00E52543" w:rsidRPr="00374A2C" w14:paraId="06F585D4" w14:textId="77777777" w:rsidTr="003234F5">
        <w:trPr>
          <w:jc w:val="center"/>
        </w:trPr>
        <w:tc>
          <w:tcPr>
            <w:tcW w:w="5864" w:type="dxa"/>
            <w:vMerge/>
          </w:tcPr>
          <w:p w14:paraId="27ACD0BF" w14:textId="77777777" w:rsidR="00E52543" w:rsidRPr="00374A2C" w:rsidRDefault="00E52543" w:rsidP="003234F5">
            <w:pPr>
              <w:rPr>
                <w:rFonts w:ascii="Calibri" w:hAnsi="Calibri" w:cs="Calibri"/>
              </w:rPr>
            </w:pPr>
          </w:p>
        </w:tc>
        <w:tc>
          <w:tcPr>
            <w:tcW w:w="3912" w:type="dxa"/>
            <w:gridSpan w:val="2"/>
          </w:tcPr>
          <w:p w14:paraId="2BD0F60C" w14:textId="77777777" w:rsidR="00E52543" w:rsidRPr="003234F5" w:rsidRDefault="00E52543" w:rsidP="003234F5">
            <w:pPr>
              <w:jc w:val="center"/>
              <w:rPr>
                <w:rFonts w:ascii="Calibri" w:hAnsi="Calibri" w:cs="Calibri"/>
                <w:b/>
                <w:bCs/>
                <w:u w:val="single"/>
              </w:rPr>
            </w:pPr>
            <w:r w:rsidRPr="003234F5">
              <w:rPr>
                <w:rFonts w:ascii="Calibri" w:hAnsi="Calibri" w:cs="Calibri"/>
                <w:b/>
                <w:bCs/>
                <w:u w:val="single"/>
              </w:rPr>
              <w:t>50%</w:t>
            </w:r>
          </w:p>
        </w:tc>
        <w:tc>
          <w:tcPr>
            <w:tcW w:w="3686" w:type="dxa"/>
            <w:gridSpan w:val="2"/>
          </w:tcPr>
          <w:p w14:paraId="0A7BE8DA" w14:textId="77777777" w:rsidR="00E52543" w:rsidRPr="003234F5" w:rsidRDefault="00E52543" w:rsidP="003234F5">
            <w:pPr>
              <w:jc w:val="center"/>
              <w:rPr>
                <w:rFonts w:ascii="Calibri" w:hAnsi="Calibri" w:cs="Calibri"/>
                <w:b/>
                <w:bCs/>
                <w:u w:val="single"/>
              </w:rPr>
            </w:pPr>
            <w:r w:rsidRPr="003234F5">
              <w:rPr>
                <w:rFonts w:ascii="Calibri" w:hAnsi="Calibri" w:cs="Calibri"/>
                <w:b/>
                <w:bCs/>
                <w:u w:val="single"/>
              </w:rPr>
              <w:t>10</w:t>
            </w:r>
          </w:p>
        </w:tc>
        <w:tc>
          <w:tcPr>
            <w:tcW w:w="1630" w:type="dxa"/>
            <w:vMerge/>
          </w:tcPr>
          <w:p w14:paraId="4EA0B967" w14:textId="77777777" w:rsidR="00E52543" w:rsidRPr="00374A2C" w:rsidRDefault="00E52543" w:rsidP="003234F5">
            <w:pPr>
              <w:rPr>
                <w:rFonts w:ascii="Calibri" w:hAnsi="Calibri" w:cs="Calibri"/>
              </w:rPr>
            </w:pPr>
          </w:p>
        </w:tc>
      </w:tr>
      <w:tr w:rsidR="00E52543" w:rsidRPr="00374A2C" w14:paraId="3A8EB5A8" w14:textId="77777777" w:rsidTr="003234F5">
        <w:trPr>
          <w:jc w:val="center"/>
        </w:trPr>
        <w:tc>
          <w:tcPr>
            <w:tcW w:w="5864" w:type="dxa"/>
            <w:vMerge/>
          </w:tcPr>
          <w:p w14:paraId="141BCE97" w14:textId="77777777" w:rsidR="00E52543" w:rsidRPr="00374A2C" w:rsidRDefault="00E52543" w:rsidP="003234F5">
            <w:pPr>
              <w:rPr>
                <w:rFonts w:ascii="Calibri" w:hAnsi="Calibri" w:cs="Calibri"/>
              </w:rPr>
            </w:pPr>
          </w:p>
        </w:tc>
        <w:tc>
          <w:tcPr>
            <w:tcW w:w="3912" w:type="dxa"/>
            <w:gridSpan w:val="2"/>
          </w:tcPr>
          <w:p w14:paraId="09D12FA8" w14:textId="77777777" w:rsidR="00E52543" w:rsidRPr="00374A2C" w:rsidRDefault="00E52543" w:rsidP="003234F5">
            <w:pPr>
              <w:jc w:val="center"/>
              <w:rPr>
                <w:rFonts w:ascii="Calibri" w:hAnsi="Calibri" w:cs="Calibri"/>
              </w:rPr>
            </w:pPr>
            <w:r w:rsidRPr="00374A2C">
              <w:rPr>
                <w:rFonts w:ascii="Calibri" w:hAnsi="Calibri" w:cs="Calibri"/>
              </w:rPr>
              <w:t>25%</w:t>
            </w:r>
          </w:p>
        </w:tc>
        <w:tc>
          <w:tcPr>
            <w:tcW w:w="3686" w:type="dxa"/>
            <w:gridSpan w:val="2"/>
          </w:tcPr>
          <w:p w14:paraId="391DE75F" w14:textId="77777777" w:rsidR="00E52543" w:rsidRPr="00374A2C" w:rsidRDefault="00E52543" w:rsidP="003234F5">
            <w:pPr>
              <w:jc w:val="center"/>
              <w:rPr>
                <w:rFonts w:ascii="Calibri" w:hAnsi="Calibri" w:cs="Calibri"/>
              </w:rPr>
            </w:pPr>
            <w:r w:rsidRPr="00374A2C">
              <w:rPr>
                <w:rFonts w:ascii="Calibri" w:hAnsi="Calibri" w:cs="Calibri"/>
              </w:rPr>
              <w:t>5</w:t>
            </w:r>
          </w:p>
        </w:tc>
        <w:tc>
          <w:tcPr>
            <w:tcW w:w="1630" w:type="dxa"/>
            <w:vMerge/>
          </w:tcPr>
          <w:p w14:paraId="4B41E8D9" w14:textId="77777777" w:rsidR="00E52543" w:rsidRPr="00374A2C" w:rsidRDefault="00E52543" w:rsidP="003234F5">
            <w:pPr>
              <w:rPr>
                <w:rFonts w:ascii="Calibri" w:hAnsi="Calibri" w:cs="Calibri"/>
              </w:rPr>
            </w:pPr>
          </w:p>
        </w:tc>
      </w:tr>
      <w:tr w:rsidR="00E52543" w:rsidRPr="00374A2C" w14:paraId="5A9ED79A" w14:textId="77777777" w:rsidTr="003234F5">
        <w:trPr>
          <w:jc w:val="center"/>
        </w:trPr>
        <w:tc>
          <w:tcPr>
            <w:tcW w:w="5864" w:type="dxa"/>
            <w:vMerge/>
          </w:tcPr>
          <w:p w14:paraId="0FDBCC4B" w14:textId="77777777" w:rsidR="00E52543" w:rsidRPr="00374A2C" w:rsidRDefault="00E52543" w:rsidP="003234F5">
            <w:pPr>
              <w:rPr>
                <w:rFonts w:ascii="Calibri" w:hAnsi="Calibri" w:cs="Calibri"/>
              </w:rPr>
            </w:pPr>
          </w:p>
        </w:tc>
        <w:tc>
          <w:tcPr>
            <w:tcW w:w="3912" w:type="dxa"/>
            <w:gridSpan w:val="2"/>
          </w:tcPr>
          <w:p w14:paraId="7E39200D" w14:textId="77777777" w:rsidR="00E52543" w:rsidRPr="003234F5" w:rsidRDefault="00E52543" w:rsidP="003234F5">
            <w:pPr>
              <w:jc w:val="center"/>
              <w:rPr>
                <w:rFonts w:ascii="Calibri" w:hAnsi="Calibri" w:cs="Calibri"/>
              </w:rPr>
            </w:pPr>
            <w:r w:rsidRPr="003234F5">
              <w:rPr>
                <w:rFonts w:ascii="Calibri" w:hAnsi="Calibri" w:cs="Calibri"/>
              </w:rPr>
              <w:t>10%</w:t>
            </w:r>
          </w:p>
        </w:tc>
        <w:tc>
          <w:tcPr>
            <w:tcW w:w="3686" w:type="dxa"/>
            <w:gridSpan w:val="2"/>
          </w:tcPr>
          <w:p w14:paraId="708F8583" w14:textId="77777777" w:rsidR="00E52543" w:rsidRPr="003234F5" w:rsidRDefault="00E52543" w:rsidP="003234F5">
            <w:pPr>
              <w:jc w:val="center"/>
              <w:rPr>
                <w:rFonts w:ascii="Calibri" w:hAnsi="Calibri" w:cs="Calibri"/>
              </w:rPr>
            </w:pPr>
            <w:r w:rsidRPr="003234F5">
              <w:rPr>
                <w:rFonts w:ascii="Calibri" w:hAnsi="Calibri" w:cs="Calibri"/>
              </w:rPr>
              <w:t>2</w:t>
            </w:r>
          </w:p>
        </w:tc>
        <w:tc>
          <w:tcPr>
            <w:tcW w:w="1630" w:type="dxa"/>
            <w:vMerge/>
          </w:tcPr>
          <w:p w14:paraId="4D01D6EB" w14:textId="77777777" w:rsidR="00E52543" w:rsidRPr="00374A2C" w:rsidRDefault="00E52543" w:rsidP="003234F5">
            <w:pPr>
              <w:rPr>
                <w:rFonts w:ascii="Calibri" w:hAnsi="Calibri" w:cs="Calibri"/>
              </w:rPr>
            </w:pPr>
          </w:p>
        </w:tc>
      </w:tr>
      <w:tr w:rsidR="00E52543" w:rsidRPr="00374A2C" w14:paraId="1BFEB798" w14:textId="77777777" w:rsidTr="003234F5">
        <w:trPr>
          <w:jc w:val="center"/>
        </w:trPr>
        <w:tc>
          <w:tcPr>
            <w:tcW w:w="5864" w:type="dxa"/>
            <w:vMerge/>
          </w:tcPr>
          <w:p w14:paraId="1AC20DCF" w14:textId="77777777" w:rsidR="00E52543" w:rsidRPr="00374A2C" w:rsidRDefault="00E52543" w:rsidP="003234F5">
            <w:pPr>
              <w:rPr>
                <w:rFonts w:ascii="Calibri" w:hAnsi="Calibri" w:cs="Calibri"/>
              </w:rPr>
            </w:pPr>
          </w:p>
        </w:tc>
        <w:tc>
          <w:tcPr>
            <w:tcW w:w="3912" w:type="dxa"/>
            <w:gridSpan w:val="2"/>
          </w:tcPr>
          <w:p w14:paraId="21987007"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3686" w:type="dxa"/>
            <w:gridSpan w:val="2"/>
          </w:tcPr>
          <w:p w14:paraId="700E8E5D"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1630" w:type="dxa"/>
            <w:vMerge/>
          </w:tcPr>
          <w:p w14:paraId="79786D1C" w14:textId="77777777" w:rsidR="00E52543" w:rsidRPr="00374A2C" w:rsidRDefault="00E52543" w:rsidP="003234F5">
            <w:pPr>
              <w:rPr>
                <w:rFonts w:ascii="Calibri" w:hAnsi="Calibri" w:cs="Calibri"/>
              </w:rPr>
            </w:pPr>
          </w:p>
        </w:tc>
      </w:tr>
      <w:tr w:rsidR="00E52543" w:rsidRPr="00374A2C" w14:paraId="651D8AB6" w14:textId="77777777" w:rsidTr="003234F5">
        <w:trPr>
          <w:jc w:val="center"/>
        </w:trPr>
        <w:tc>
          <w:tcPr>
            <w:tcW w:w="5864" w:type="dxa"/>
            <w:vMerge w:val="restart"/>
          </w:tcPr>
          <w:p w14:paraId="15D615C4" w14:textId="77777777" w:rsidR="00E52543" w:rsidRPr="00374A2C" w:rsidRDefault="00E52543" w:rsidP="003234F5">
            <w:pPr>
              <w:rPr>
                <w:rFonts w:ascii="Calibri" w:hAnsi="Calibri" w:cs="Calibri"/>
                <w:b/>
                <w:bCs/>
              </w:rPr>
            </w:pPr>
            <w:r w:rsidRPr="00374A2C">
              <w:rPr>
                <w:rFonts w:ascii="Calibri" w:hAnsi="Calibri" w:cs="Calibri"/>
                <w:b/>
                <w:bCs/>
              </w:rPr>
              <w:t>Monitoring and Evaluation Plan</w:t>
            </w:r>
          </w:p>
          <w:p w14:paraId="510DC7FC" w14:textId="77777777" w:rsidR="00E52543" w:rsidRPr="00374A2C" w:rsidRDefault="00E52543" w:rsidP="003234F5">
            <w:pPr>
              <w:rPr>
                <w:rFonts w:ascii="Calibri" w:hAnsi="Calibri" w:cs="Calibri"/>
              </w:rPr>
            </w:pPr>
          </w:p>
          <w:p w14:paraId="18BDE8D7" w14:textId="77777777" w:rsidR="00E52543" w:rsidRPr="00374A2C" w:rsidRDefault="00E52543" w:rsidP="003234F5">
            <w:pPr>
              <w:rPr>
                <w:rFonts w:ascii="Calibri" w:hAnsi="Calibri" w:cs="Calibri"/>
              </w:rPr>
            </w:pPr>
            <w:r w:rsidRPr="00374A2C">
              <w:rPr>
                <w:rFonts w:ascii="Calibri" w:hAnsi="Calibri" w:cs="Calibri"/>
              </w:rPr>
              <w:t>Explicit reference to monitoring and evaluation of progress and impact of the policy</w:t>
            </w:r>
          </w:p>
        </w:tc>
        <w:tc>
          <w:tcPr>
            <w:tcW w:w="3912" w:type="dxa"/>
            <w:gridSpan w:val="2"/>
          </w:tcPr>
          <w:p w14:paraId="489A2EDC" w14:textId="77777777" w:rsidR="00E52543" w:rsidRPr="00374A2C" w:rsidRDefault="00E52543" w:rsidP="003234F5">
            <w:pPr>
              <w:pStyle w:val="NormalWeb"/>
              <w:shd w:val="clear" w:color="auto" w:fill="FFFFFF"/>
              <w:jc w:val="center"/>
              <w:rPr>
                <w:rFonts w:ascii="Calibri" w:hAnsi="Calibri" w:cs="Calibri"/>
                <w:sz w:val="22"/>
                <w:szCs w:val="22"/>
              </w:rPr>
            </w:pPr>
            <w:r w:rsidRPr="00374A2C">
              <w:rPr>
                <w:rFonts w:ascii="Calibri" w:hAnsi="Calibri" w:cs="Calibri"/>
                <w:b/>
                <w:bCs/>
                <w:sz w:val="22"/>
                <w:szCs w:val="22"/>
              </w:rPr>
              <w:t>Proportion (%) of Included Policies with Identified Systems for Monitoring &amp; Evaluation</w:t>
            </w:r>
          </w:p>
        </w:tc>
        <w:tc>
          <w:tcPr>
            <w:tcW w:w="3686" w:type="dxa"/>
            <w:gridSpan w:val="2"/>
          </w:tcPr>
          <w:p w14:paraId="5E0494F2" w14:textId="77777777" w:rsidR="00E52543" w:rsidRPr="00374A2C" w:rsidRDefault="00E52543" w:rsidP="003234F5">
            <w:pPr>
              <w:jc w:val="center"/>
              <w:rPr>
                <w:rFonts w:ascii="Calibri" w:hAnsi="Calibri" w:cs="Calibri"/>
              </w:rPr>
            </w:pPr>
            <w:r w:rsidRPr="00374A2C">
              <w:rPr>
                <w:rFonts w:ascii="Calibri" w:hAnsi="Calibri" w:cs="Calibri"/>
                <w:b/>
                <w:bCs/>
              </w:rPr>
              <w:t>Score</w:t>
            </w:r>
          </w:p>
        </w:tc>
        <w:tc>
          <w:tcPr>
            <w:tcW w:w="1630" w:type="dxa"/>
            <w:vMerge w:val="restart"/>
          </w:tcPr>
          <w:p w14:paraId="70D2FEBF" w14:textId="77777777" w:rsidR="00E52543" w:rsidRPr="00374A2C" w:rsidRDefault="00E52543" w:rsidP="003234F5">
            <w:pPr>
              <w:rPr>
                <w:rFonts w:ascii="Calibri" w:hAnsi="Calibri" w:cs="Calibri"/>
              </w:rPr>
            </w:pPr>
          </w:p>
          <w:p w14:paraId="6983E8BC" w14:textId="77777777" w:rsidR="00E52543" w:rsidRDefault="00E52543" w:rsidP="003234F5">
            <w:pPr>
              <w:jc w:val="center"/>
              <w:rPr>
                <w:rFonts w:ascii="Calibri" w:hAnsi="Calibri" w:cs="Calibri"/>
              </w:rPr>
            </w:pPr>
          </w:p>
          <w:p w14:paraId="04845E2D" w14:textId="77777777" w:rsidR="00E52543" w:rsidRPr="00374A2C" w:rsidRDefault="00E52543" w:rsidP="003234F5">
            <w:pPr>
              <w:jc w:val="center"/>
              <w:rPr>
                <w:rFonts w:ascii="Calibri" w:hAnsi="Calibri" w:cs="Calibri"/>
              </w:rPr>
            </w:pPr>
            <w:r>
              <w:rPr>
                <w:rFonts w:ascii="Calibri" w:hAnsi="Calibri" w:cs="Calibri"/>
              </w:rPr>
              <w:t>5</w:t>
            </w:r>
          </w:p>
        </w:tc>
      </w:tr>
      <w:tr w:rsidR="00E52543" w:rsidRPr="00374A2C" w14:paraId="7BC2BAB7" w14:textId="77777777" w:rsidTr="003234F5">
        <w:trPr>
          <w:jc w:val="center"/>
        </w:trPr>
        <w:tc>
          <w:tcPr>
            <w:tcW w:w="5864" w:type="dxa"/>
            <w:vMerge/>
          </w:tcPr>
          <w:p w14:paraId="395F41F5" w14:textId="77777777" w:rsidR="00E52543" w:rsidRPr="00374A2C" w:rsidRDefault="00E52543" w:rsidP="003234F5">
            <w:pPr>
              <w:rPr>
                <w:rFonts w:ascii="Calibri" w:hAnsi="Calibri" w:cs="Calibri"/>
              </w:rPr>
            </w:pPr>
          </w:p>
        </w:tc>
        <w:tc>
          <w:tcPr>
            <w:tcW w:w="3912" w:type="dxa"/>
            <w:gridSpan w:val="2"/>
          </w:tcPr>
          <w:p w14:paraId="167225AE" w14:textId="77777777" w:rsidR="00E52543" w:rsidRPr="00374A2C" w:rsidRDefault="00E52543" w:rsidP="003234F5">
            <w:pPr>
              <w:jc w:val="center"/>
              <w:rPr>
                <w:rFonts w:ascii="Calibri" w:hAnsi="Calibri" w:cs="Calibri"/>
              </w:rPr>
            </w:pPr>
            <w:r w:rsidRPr="00374A2C">
              <w:rPr>
                <w:rFonts w:ascii="Calibri" w:hAnsi="Calibri" w:cs="Calibri"/>
              </w:rPr>
              <w:t>100%</w:t>
            </w:r>
          </w:p>
        </w:tc>
        <w:tc>
          <w:tcPr>
            <w:tcW w:w="3686" w:type="dxa"/>
            <w:gridSpan w:val="2"/>
          </w:tcPr>
          <w:p w14:paraId="341C373D" w14:textId="77777777" w:rsidR="00E52543" w:rsidRPr="00374A2C" w:rsidRDefault="00E52543" w:rsidP="003234F5">
            <w:pPr>
              <w:jc w:val="center"/>
              <w:rPr>
                <w:rFonts w:ascii="Calibri" w:hAnsi="Calibri" w:cs="Calibri"/>
              </w:rPr>
            </w:pPr>
            <w:r w:rsidRPr="00374A2C">
              <w:rPr>
                <w:rFonts w:ascii="Calibri" w:hAnsi="Calibri" w:cs="Calibri"/>
              </w:rPr>
              <w:t>10</w:t>
            </w:r>
          </w:p>
        </w:tc>
        <w:tc>
          <w:tcPr>
            <w:tcW w:w="1630" w:type="dxa"/>
            <w:vMerge/>
          </w:tcPr>
          <w:p w14:paraId="397FED63" w14:textId="77777777" w:rsidR="00E52543" w:rsidRPr="00374A2C" w:rsidRDefault="00E52543" w:rsidP="003234F5">
            <w:pPr>
              <w:rPr>
                <w:rFonts w:ascii="Calibri" w:hAnsi="Calibri" w:cs="Calibri"/>
              </w:rPr>
            </w:pPr>
          </w:p>
        </w:tc>
      </w:tr>
      <w:tr w:rsidR="00E52543" w:rsidRPr="00374A2C" w14:paraId="0FF10B9B" w14:textId="77777777" w:rsidTr="003234F5">
        <w:trPr>
          <w:jc w:val="center"/>
        </w:trPr>
        <w:tc>
          <w:tcPr>
            <w:tcW w:w="5864" w:type="dxa"/>
            <w:vMerge/>
          </w:tcPr>
          <w:p w14:paraId="7881F0D1" w14:textId="77777777" w:rsidR="00E52543" w:rsidRPr="00374A2C" w:rsidRDefault="00E52543" w:rsidP="003234F5">
            <w:pPr>
              <w:rPr>
                <w:rFonts w:ascii="Calibri" w:hAnsi="Calibri" w:cs="Calibri"/>
              </w:rPr>
            </w:pPr>
          </w:p>
        </w:tc>
        <w:tc>
          <w:tcPr>
            <w:tcW w:w="3912" w:type="dxa"/>
            <w:gridSpan w:val="2"/>
          </w:tcPr>
          <w:p w14:paraId="2C008953" w14:textId="77777777" w:rsidR="00E52543" w:rsidRPr="00374A2C" w:rsidRDefault="00E52543" w:rsidP="003234F5">
            <w:pPr>
              <w:jc w:val="center"/>
              <w:rPr>
                <w:rFonts w:ascii="Calibri" w:hAnsi="Calibri" w:cs="Calibri"/>
              </w:rPr>
            </w:pPr>
            <w:r w:rsidRPr="00374A2C">
              <w:rPr>
                <w:rFonts w:ascii="Calibri" w:hAnsi="Calibri" w:cs="Calibri"/>
              </w:rPr>
              <w:t>75%</w:t>
            </w:r>
          </w:p>
        </w:tc>
        <w:tc>
          <w:tcPr>
            <w:tcW w:w="3686" w:type="dxa"/>
            <w:gridSpan w:val="2"/>
          </w:tcPr>
          <w:p w14:paraId="2BA0F152" w14:textId="77777777" w:rsidR="00E52543" w:rsidRPr="00374A2C" w:rsidRDefault="00E52543" w:rsidP="003234F5">
            <w:pPr>
              <w:jc w:val="center"/>
              <w:rPr>
                <w:rFonts w:ascii="Calibri" w:hAnsi="Calibri" w:cs="Calibri"/>
              </w:rPr>
            </w:pPr>
            <w:r w:rsidRPr="00374A2C">
              <w:rPr>
                <w:rFonts w:ascii="Calibri" w:hAnsi="Calibri" w:cs="Calibri"/>
              </w:rPr>
              <w:t>7.5</w:t>
            </w:r>
          </w:p>
        </w:tc>
        <w:tc>
          <w:tcPr>
            <w:tcW w:w="1630" w:type="dxa"/>
            <w:vMerge/>
          </w:tcPr>
          <w:p w14:paraId="5856AB28" w14:textId="77777777" w:rsidR="00E52543" w:rsidRPr="00374A2C" w:rsidRDefault="00E52543" w:rsidP="003234F5">
            <w:pPr>
              <w:rPr>
                <w:rFonts w:ascii="Calibri" w:hAnsi="Calibri" w:cs="Calibri"/>
              </w:rPr>
            </w:pPr>
          </w:p>
        </w:tc>
      </w:tr>
      <w:tr w:rsidR="00E52543" w:rsidRPr="00374A2C" w14:paraId="328D0C6F" w14:textId="77777777" w:rsidTr="003234F5">
        <w:trPr>
          <w:jc w:val="center"/>
        </w:trPr>
        <w:tc>
          <w:tcPr>
            <w:tcW w:w="5864" w:type="dxa"/>
            <w:vMerge/>
          </w:tcPr>
          <w:p w14:paraId="2D56E644" w14:textId="77777777" w:rsidR="00E52543" w:rsidRPr="00374A2C" w:rsidRDefault="00E52543" w:rsidP="003234F5">
            <w:pPr>
              <w:rPr>
                <w:rFonts w:ascii="Calibri" w:hAnsi="Calibri" w:cs="Calibri"/>
              </w:rPr>
            </w:pPr>
          </w:p>
        </w:tc>
        <w:tc>
          <w:tcPr>
            <w:tcW w:w="3912" w:type="dxa"/>
            <w:gridSpan w:val="2"/>
          </w:tcPr>
          <w:p w14:paraId="79CC97F1" w14:textId="77777777" w:rsidR="00E52543" w:rsidRPr="003234F5" w:rsidRDefault="00E52543" w:rsidP="003234F5">
            <w:pPr>
              <w:jc w:val="center"/>
              <w:rPr>
                <w:rFonts w:ascii="Calibri" w:hAnsi="Calibri" w:cs="Calibri"/>
                <w:b/>
                <w:bCs/>
                <w:u w:val="single"/>
              </w:rPr>
            </w:pPr>
            <w:r w:rsidRPr="003234F5">
              <w:rPr>
                <w:rFonts w:ascii="Calibri" w:hAnsi="Calibri" w:cs="Calibri"/>
                <w:b/>
                <w:bCs/>
                <w:u w:val="single"/>
              </w:rPr>
              <w:t>50%</w:t>
            </w:r>
          </w:p>
        </w:tc>
        <w:tc>
          <w:tcPr>
            <w:tcW w:w="3686" w:type="dxa"/>
            <w:gridSpan w:val="2"/>
          </w:tcPr>
          <w:p w14:paraId="38EDDF34" w14:textId="77777777" w:rsidR="00E52543" w:rsidRPr="003234F5" w:rsidRDefault="00E52543" w:rsidP="003234F5">
            <w:pPr>
              <w:jc w:val="center"/>
              <w:rPr>
                <w:rFonts w:ascii="Calibri" w:hAnsi="Calibri" w:cs="Calibri"/>
                <w:b/>
                <w:bCs/>
                <w:u w:val="single"/>
              </w:rPr>
            </w:pPr>
            <w:r w:rsidRPr="003234F5">
              <w:rPr>
                <w:rFonts w:ascii="Calibri" w:hAnsi="Calibri" w:cs="Calibri"/>
                <w:b/>
                <w:bCs/>
                <w:u w:val="single"/>
              </w:rPr>
              <w:t>5</w:t>
            </w:r>
          </w:p>
        </w:tc>
        <w:tc>
          <w:tcPr>
            <w:tcW w:w="1630" w:type="dxa"/>
            <w:vMerge/>
          </w:tcPr>
          <w:p w14:paraId="1898A20A" w14:textId="77777777" w:rsidR="00E52543" w:rsidRPr="00374A2C" w:rsidRDefault="00E52543" w:rsidP="003234F5">
            <w:pPr>
              <w:rPr>
                <w:rFonts w:ascii="Calibri" w:hAnsi="Calibri" w:cs="Calibri"/>
              </w:rPr>
            </w:pPr>
          </w:p>
        </w:tc>
      </w:tr>
      <w:tr w:rsidR="00E52543" w:rsidRPr="00374A2C" w14:paraId="39014DC5" w14:textId="77777777" w:rsidTr="003234F5">
        <w:trPr>
          <w:jc w:val="center"/>
        </w:trPr>
        <w:tc>
          <w:tcPr>
            <w:tcW w:w="5864" w:type="dxa"/>
            <w:vMerge/>
          </w:tcPr>
          <w:p w14:paraId="6822DE01" w14:textId="77777777" w:rsidR="00E52543" w:rsidRPr="00374A2C" w:rsidRDefault="00E52543" w:rsidP="003234F5">
            <w:pPr>
              <w:rPr>
                <w:rFonts w:ascii="Calibri" w:hAnsi="Calibri" w:cs="Calibri"/>
              </w:rPr>
            </w:pPr>
          </w:p>
        </w:tc>
        <w:tc>
          <w:tcPr>
            <w:tcW w:w="3912" w:type="dxa"/>
            <w:gridSpan w:val="2"/>
          </w:tcPr>
          <w:p w14:paraId="1CABCAD8" w14:textId="77777777" w:rsidR="00E52543" w:rsidRPr="003234F5" w:rsidRDefault="00E52543" w:rsidP="003234F5">
            <w:pPr>
              <w:jc w:val="center"/>
              <w:rPr>
                <w:rFonts w:ascii="Calibri" w:hAnsi="Calibri" w:cs="Calibri"/>
              </w:rPr>
            </w:pPr>
            <w:r w:rsidRPr="003234F5">
              <w:rPr>
                <w:rFonts w:ascii="Calibri" w:hAnsi="Calibri" w:cs="Calibri"/>
              </w:rPr>
              <w:t>25%</w:t>
            </w:r>
          </w:p>
        </w:tc>
        <w:tc>
          <w:tcPr>
            <w:tcW w:w="3686" w:type="dxa"/>
            <w:gridSpan w:val="2"/>
          </w:tcPr>
          <w:p w14:paraId="05918B53" w14:textId="77777777" w:rsidR="00E52543" w:rsidRPr="003234F5" w:rsidRDefault="00E52543" w:rsidP="003234F5">
            <w:pPr>
              <w:jc w:val="center"/>
              <w:rPr>
                <w:rFonts w:ascii="Calibri" w:hAnsi="Calibri" w:cs="Calibri"/>
              </w:rPr>
            </w:pPr>
            <w:r w:rsidRPr="003234F5">
              <w:rPr>
                <w:rFonts w:ascii="Calibri" w:hAnsi="Calibri" w:cs="Calibri"/>
              </w:rPr>
              <w:t>2.5</w:t>
            </w:r>
          </w:p>
        </w:tc>
        <w:tc>
          <w:tcPr>
            <w:tcW w:w="1630" w:type="dxa"/>
            <w:vMerge/>
          </w:tcPr>
          <w:p w14:paraId="3B9AB43D" w14:textId="77777777" w:rsidR="00E52543" w:rsidRPr="00374A2C" w:rsidRDefault="00E52543" w:rsidP="003234F5">
            <w:pPr>
              <w:rPr>
                <w:rFonts w:ascii="Calibri" w:hAnsi="Calibri" w:cs="Calibri"/>
              </w:rPr>
            </w:pPr>
          </w:p>
        </w:tc>
      </w:tr>
      <w:tr w:rsidR="00E52543" w:rsidRPr="00374A2C" w14:paraId="6B36766E" w14:textId="77777777" w:rsidTr="003234F5">
        <w:trPr>
          <w:jc w:val="center"/>
        </w:trPr>
        <w:tc>
          <w:tcPr>
            <w:tcW w:w="5864" w:type="dxa"/>
            <w:vMerge/>
          </w:tcPr>
          <w:p w14:paraId="02114E98" w14:textId="77777777" w:rsidR="00E52543" w:rsidRPr="00374A2C" w:rsidRDefault="00E52543" w:rsidP="003234F5">
            <w:pPr>
              <w:rPr>
                <w:rFonts w:ascii="Calibri" w:hAnsi="Calibri" w:cs="Calibri"/>
              </w:rPr>
            </w:pPr>
          </w:p>
        </w:tc>
        <w:tc>
          <w:tcPr>
            <w:tcW w:w="3912" w:type="dxa"/>
            <w:gridSpan w:val="2"/>
          </w:tcPr>
          <w:p w14:paraId="6D00D064" w14:textId="77777777" w:rsidR="00E52543" w:rsidRPr="00374A2C" w:rsidRDefault="00E52543" w:rsidP="003234F5">
            <w:pPr>
              <w:jc w:val="center"/>
              <w:rPr>
                <w:rFonts w:ascii="Calibri" w:hAnsi="Calibri" w:cs="Calibri"/>
              </w:rPr>
            </w:pPr>
            <w:r w:rsidRPr="00374A2C">
              <w:rPr>
                <w:rFonts w:ascii="Calibri" w:hAnsi="Calibri" w:cs="Calibri"/>
              </w:rPr>
              <w:t>10%</w:t>
            </w:r>
          </w:p>
        </w:tc>
        <w:tc>
          <w:tcPr>
            <w:tcW w:w="3686" w:type="dxa"/>
            <w:gridSpan w:val="2"/>
          </w:tcPr>
          <w:p w14:paraId="53478EDB" w14:textId="77777777" w:rsidR="00E52543" w:rsidRPr="00374A2C" w:rsidRDefault="00E52543" w:rsidP="003234F5">
            <w:pPr>
              <w:jc w:val="center"/>
              <w:rPr>
                <w:rFonts w:ascii="Calibri" w:hAnsi="Calibri" w:cs="Calibri"/>
              </w:rPr>
            </w:pPr>
            <w:r w:rsidRPr="00374A2C">
              <w:rPr>
                <w:rFonts w:ascii="Calibri" w:hAnsi="Calibri" w:cs="Calibri"/>
              </w:rPr>
              <w:t>1</w:t>
            </w:r>
          </w:p>
        </w:tc>
        <w:tc>
          <w:tcPr>
            <w:tcW w:w="1630" w:type="dxa"/>
            <w:vMerge/>
          </w:tcPr>
          <w:p w14:paraId="7B404225" w14:textId="77777777" w:rsidR="00E52543" w:rsidRPr="00374A2C" w:rsidRDefault="00E52543" w:rsidP="003234F5">
            <w:pPr>
              <w:rPr>
                <w:rFonts w:ascii="Calibri" w:hAnsi="Calibri" w:cs="Calibri"/>
              </w:rPr>
            </w:pPr>
          </w:p>
        </w:tc>
      </w:tr>
      <w:tr w:rsidR="00E52543" w:rsidRPr="00374A2C" w14:paraId="7E561CF3" w14:textId="77777777" w:rsidTr="003234F5">
        <w:trPr>
          <w:jc w:val="center"/>
        </w:trPr>
        <w:tc>
          <w:tcPr>
            <w:tcW w:w="5864" w:type="dxa"/>
            <w:vMerge/>
          </w:tcPr>
          <w:p w14:paraId="236A56DE" w14:textId="77777777" w:rsidR="00E52543" w:rsidRPr="00374A2C" w:rsidRDefault="00E52543" w:rsidP="003234F5">
            <w:pPr>
              <w:rPr>
                <w:rFonts w:ascii="Calibri" w:hAnsi="Calibri" w:cs="Calibri"/>
              </w:rPr>
            </w:pPr>
          </w:p>
        </w:tc>
        <w:tc>
          <w:tcPr>
            <w:tcW w:w="3912" w:type="dxa"/>
            <w:gridSpan w:val="2"/>
          </w:tcPr>
          <w:p w14:paraId="419354B2"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3686" w:type="dxa"/>
            <w:gridSpan w:val="2"/>
          </w:tcPr>
          <w:p w14:paraId="4C250688" w14:textId="77777777" w:rsidR="00E52543" w:rsidRPr="00374A2C" w:rsidRDefault="00E52543" w:rsidP="003234F5">
            <w:pPr>
              <w:jc w:val="center"/>
              <w:rPr>
                <w:rFonts w:ascii="Calibri" w:hAnsi="Calibri" w:cs="Calibri"/>
              </w:rPr>
            </w:pPr>
            <w:r w:rsidRPr="00374A2C">
              <w:rPr>
                <w:rFonts w:ascii="Calibri" w:hAnsi="Calibri" w:cs="Calibri"/>
              </w:rPr>
              <w:t>0</w:t>
            </w:r>
          </w:p>
        </w:tc>
        <w:tc>
          <w:tcPr>
            <w:tcW w:w="1630" w:type="dxa"/>
            <w:vMerge/>
          </w:tcPr>
          <w:p w14:paraId="43786F64" w14:textId="77777777" w:rsidR="00E52543" w:rsidRPr="00374A2C" w:rsidRDefault="00E52543" w:rsidP="003234F5">
            <w:pPr>
              <w:rPr>
                <w:rFonts w:ascii="Calibri" w:hAnsi="Calibri" w:cs="Calibri"/>
              </w:rPr>
            </w:pPr>
          </w:p>
        </w:tc>
      </w:tr>
    </w:tbl>
    <w:p w14:paraId="48A19D5F" w14:textId="77777777" w:rsidR="00E52543" w:rsidRDefault="00E52543" w:rsidP="00E52543">
      <w:pPr>
        <w:jc w:val="center"/>
        <w:rPr>
          <w:rFonts w:ascii="Calibri" w:hAnsi="Calibri" w:cs="Calibri"/>
          <w:b/>
          <w:bCs/>
          <w:u w:val="single"/>
        </w:rPr>
      </w:pPr>
    </w:p>
    <w:p w14:paraId="7B1F3287" w14:textId="77777777" w:rsidR="00E52543" w:rsidRPr="00EB4260" w:rsidRDefault="00E52543" w:rsidP="00E52543">
      <w:pPr>
        <w:rPr>
          <w:rFonts w:eastAsia="Times New Roman" w:cs="Times New Roman"/>
          <w:b/>
          <w:bCs/>
          <w:kern w:val="36"/>
          <w:sz w:val="28"/>
          <w:szCs w:val="28"/>
          <w:lang w:eastAsia="en-GB"/>
        </w:rPr>
      </w:pPr>
      <w:r w:rsidRPr="00EB4260">
        <w:rPr>
          <w:rFonts w:eastAsia="Times New Roman" w:cs="Times New Roman"/>
          <w:b/>
          <w:bCs/>
          <w:kern w:val="36"/>
          <w:sz w:val="28"/>
          <w:szCs w:val="28"/>
          <w:lang w:eastAsia="en-GB"/>
        </w:rPr>
        <w:t>Table 7</w:t>
      </w:r>
      <w:r>
        <w:rPr>
          <w:rFonts w:eastAsia="Times New Roman" w:cs="Times New Roman"/>
          <w:b/>
          <w:bCs/>
          <w:kern w:val="36"/>
          <w:sz w:val="28"/>
          <w:szCs w:val="28"/>
          <w:lang w:eastAsia="en-GB"/>
        </w:rPr>
        <w:t>.5</w:t>
      </w:r>
      <w:r w:rsidRPr="00EB4260">
        <w:rPr>
          <w:rFonts w:eastAsia="Times New Roman" w:cs="Times New Roman"/>
          <w:b/>
          <w:bCs/>
          <w:kern w:val="36"/>
          <w:sz w:val="28"/>
          <w:szCs w:val="28"/>
          <w:lang w:eastAsia="en-GB"/>
        </w:rPr>
        <w:t xml:space="preserve"> </w:t>
      </w:r>
      <w:r>
        <w:rPr>
          <w:rFonts w:eastAsia="Times New Roman" w:cs="Times New Roman"/>
          <w:b/>
          <w:bCs/>
          <w:kern w:val="36"/>
          <w:sz w:val="28"/>
          <w:szCs w:val="28"/>
          <w:lang w:eastAsia="en-GB"/>
        </w:rPr>
        <w:t>Descriptive scoring grid for the Government Indicator (</w:t>
      </w:r>
      <w:r w:rsidRPr="001B4EAE">
        <w:rPr>
          <w:rFonts w:eastAsia="Times New Roman" w:cs="Times New Roman"/>
          <w:b/>
          <w:bCs/>
          <w:kern w:val="36"/>
          <w:sz w:val="28"/>
          <w:szCs w:val="28"/>
          <w:lang w:eastAsia="en-GB"/>
        </w:rPr>
        <w:t>diet and obesity</w:t>
      </w:r>
      <w:r>
        <w:rPr>
          <w:rFonts w:eastAsia="Times New Roman" w:cs="Times New Roman"/>
          <w:b/>
          <w:bCs/>
          <w:kern w:val="36"/>
          <w:sz w:val="28"/>
          <w:szCs w:val="28"/>
          <w:lang w:eastAsia="en-GB"/>
        </w:rPr>
        <w:t>; links to Table 7.4)</w:t>
      </w:r>
    </w:p>
    <w:tbl>
      <w:tblPr>
        <w:tblStyle w:val="TableGrid"/>
        <w:tblW w:w="13887" w:type="dxa"/>
        <w:tblLook w:val="04A0" w:firstRow="1" w:lastRow="0" w:firstColumn="1" w:lastColumn="0" w:noHBand="0" w:noVBand="1"/>
      </w:tblPr>
      <w:tblGrid>
        <w:gridCol w:w="2547"/>
        <w:gridCol w:w="9497"/>
        <w:gridCol w:w="1843"/>
      </w:tblGrid>
      <w:tr w:rsidR="00E52543" w:rsidRPr="008477B8" w14:paraId="30012F4A" w14:textId="77777777" w:rsidTr="003234F5">
        <w:tc>
          <w:tcPr>
            <w:tcW w:w="2547" w:type="dxa"/>
          </w:tcPr>
          <w:p w14:paraId="76E27042" w14:textId="77777777" w:rsidR="00E52543" w:rsidRPr="008477B8" w:rsidRDefault="00E52543" w:rsidP="003234F5">
            <w:pPr>
              <w:rPr>
                <w:rFonts w:ascii="Calibri" w:hAnsi="Calibri" w:cs="Calibri"/>
                <w:b/>
                <w:bCs/>
              </w:rPr>
            </w:pPr>
            <w:r w:rsidRPr="008477B8">
              <w:rPr>
                <w:rFonts w:ascii="Calibri" w:hAnsi="Calibri" w:cs="Calibri"/>
                <w:b/>
                <w:bCs/>
              </w:rPr>
              <w:t>Criterion</w:t>
            </w:r>
          </w:p>
        </w:tc>
        <w:tc>
          <w:tcPr>
            <w:tcW w:w="9497" w:type="dxa"/>
          </w:tcPr>
          <w:p w14:paraId="67F980B2" w14:textId="77777777" w:rsidR="00E52543" w:rsidRPr="008477B8" w:rsidRDefault="00E52543" w:rsidP="003234F5">
            <w:pPr>
              <w:rPr>
                <w:rFonts w:ascii="Calibri" w:hAnsi="Calibri" w:cs="Calibri"/>
                <w:b/>
                <w:bCs/>
              </w:rPr>
            </w:pPr>
            <w:r w:rsidRPr="008477B8">
              <w:rPr>
                <w:rFonts w:ascii="Calibri" w:hAnsi="Calibri" w:cs="Calibri"/>
                <w:b/>
                <w:bCs/>
              </w:rPr>
              <w:t>Narrative/explanation</w:t>
            </w:r>
          </w:p>
        </w:tc>
        <w:tc>
          <w:tcPr>
            <w:tcW w:w="1843" w:type="dxa"/>
          </w:tcPr>
          <w:p w14:paraId="69CB1C15" w14:textId="77777777" w:rsidR="00E52543" w:rsidRPr="008477B8" w:rsidRDefault="00E52543" w:rsidP="003234F5">
            <w:pPr>
              <w:rPr>
                <w:rFonts w:ascii="Calibri" w:hAnsi="Calibri" w:cs="Calibri"/>
                <w:b/>
                <w:bCs/>
              </w:rPr>
            </w:pPr>
            <w:r w:rsidRPr="008477B8">
              <w:rPr>
                <w:rFonts w:ascii="Calibri" w:hAnsi="Calibri" w:cs="Calibri"/>
                <w:b/>
                <w:bCs/>
              </w:rPr>
              <w:t>Score</w:t>
            </w:r>
          </w:p>
        </w:tc>
      </w:tr>
      <w:tr w:rsidR="00E52543" w:rsidRPr="00374A2C" w14:paraId="1A4CA754" w14:textId="77777777" w:rsidTr="003234F5">
        <w:tc>
          <w:tcPr>
            <w:tcW w:w="2547" w:type="dxa"/>
          </w:tcPr>
          <w:p w14:paraId="388005AC" w14:textId="77777777" w:rsidR="00E52543" w:rsidRPr="002B17E1" w:rsidRDefault="00E52543" w:rsidP="003234F5">
            <w:pPr>
              <w:rPr>
                <w:rFonts w:ascii="Calibri" w:hAnsi="Calibri" w:cs="Calibri"/>
                <w:b/>
                <w:bCs/>
              </w:rPr>
            </w:pPr>
            <w:r w:rsidRPr="00374A2C">
              <w:rPr>
                <w:rFonts w:ascii="Calibri" w:hAnsi="Calibri" w:cs="Calibri"/>
                <w:b/>
                <w:bCs/>
              </w:rPr>
              <w:t>Number and Breadth of Relevant Policies</w:t>
            </w:r>
          </w:p>
          <w:p w14:paraId="22665E85" w14:textId="77777777" w:rsidR="00E52543" w:rsidRPr="002B17E1" w:rsidRDefault="00E52543" w:rsidP="003234F5">
            <w:pPr>
              <w:rPr>
                <w:rFonts w:ascii="Calibri" w:hAnsi="Calibri" w:cs="Calibri"/>
                <w:b/>
                <w:bCs/>
                <w:i/>
                <w:iCs/>
                <w:u w:val="single"/>
              </w:rPr>
            </w:pPr>
            <w:r w:rsidRPr="002B17E1">
              <w:rPr>
                <w:rFonts w:ascii="Calibri" w:hAnsi="Calibri" w:cs="Calibri"/>
                <w:i/>
                <w:iCs/>
              </w:rPr>
              <w:t xml:space="preserve">Policies/ strategies/ action plans that reference </w:t>
            </w:r>
            <w:r>
              <w:rPr>
                <w:rFonts w:ascii="Calibri" w:hAnsi="Calibri" w:cs="Calibri"/>
                <w:i/>
                <w:iCs/>
              </w:rPr>
              <w:t>diet or obesity</w:t>
            </w:r>
            <w:r w:rsidRPr="002B17E1">
              <w:rPr>
                <w:rFonts w:ascii="Calibri" w:hAnsi="Calibri" w:cs="Calibri"/>
                <w:i/>
                <w:iCs/>
              </w:rPr>
              <w:t>.</w:t>
            </w:r>
          </w:p>
        </w:tc>
        <w:tc>
          <w:tcPr>
            <w:tcW w:w="9497" w:type="dxa"/>
          </w:tcPr>
          <w:p w14:paraId="4C44CF49" w14:textId="77777777" w:rsidR="00E52543" w:rsidRPr="002B17E1" w:rsidRDefault="00E52543" w:rsidP="003234F5">
            <w:pPr>
              <w:rPr>
                <w:rFonts w:ascii="Calibri" w:hAnsi="Calibri" w:cs="Calibri"/>
              </w:rPr>
            </w:pPr>
            <w:r>
              <w:rPr>
                <w:rFonts w:ascii="Calibri" w:hAnsi="Calibri" w:cs="Calibri"/>
              </w:rPr>
              <w:t xml:space="preserve">In Scotland, there are ten national policies/strategies/action plans/guidelines that mention and/or aim to improve diet or tackle obesity in children which are relevant to the timescale of the current report card. </w:t>
            </w:r>
            <w:r w:rsidRPr="00DF7C93">
              <w:rPr>
                <w:rFonts w:ascii="Calibri" w:hAnsi="Calibri" w:cs="Calibri"/>
              </w:rPr>
              <w:t>These policy documents are represented in a variety of directorates within the Scottish Government (</w:t>
            </w:r>
            <w:r>
              <w:rPr>
                <w:rFonts w:ascii="Calibri" w:hAnsi="Calibri" w:cs="Calibri"/>
              </w:rPr>
              <w:t>5</w:t>
            </w:r>
            <w:r w:rsidRPr="00DF7C93">
              <w:rPr>
                <w:rFonts w:ascii="Calibri" w:hAnsi="Calibri" w:cs="Calibri"/>
              </w:rPr>
              <w:t xml:space="preserve"> out of 43)</w:t>
            </w:r>
            <w:r>
              <w:rPr>
                <w:rFonts w:ascii="Calibri" w:hAnsi="Calibri" w:cs="Calibri"/>
              </w:rPr>
              <w:t xml:space="preserve">, namely: </w:t>
            </w:r>
            <w:r w:rsidRPr="004A7DFE">
              <w:rPr>
                <w:rFonts w:ascii="Calibri" w:hAnsi="Calibri" w:cs="Calibri"/>
              </w:rPr>
              <w:t>Community Health and Social Care</w:t>
            </w:r>
            <w:r>
              <w:rPr>
                <w:rFonts w:ascii="Calibri" w:hAnsi="Calibri" w:cs="Calibri"/>
              </w:rPr>
              <w:t xml:space="preserve">, </w:t>
            </w:r>
            <w:r w:rsidRPr="004A7DFE">
              <w:rPr>
                <w:rFonts w:ascii="Calibri" w:hAnsi="Calibri" w:cs="Calibri"/>
              </w:rPr>
              <w:t>Agriculture and Rural Economy</w:t>
            </w:r>
            <w:r>
              <w:rPr>
                <w:rFonts w:ascii="Calibri" w:hAnsi="Calibri" w:cs="Calibri"/>
              </w:rPr>
              <w:t xml:space="preserve">, </w:t>
            </w:r>
            <w:r w:rsidRPr="004A7DFE">
              <w:rPr>
                <w:rFonts w:ascii="Calibri" w:hAnsi="Calibri" w:cs="Calibri"/>
              </w:rPr>
              <w:t>Children and Families</w:t>
            </w:r>
            <w:r>
              <w:rPr>
                <w:rFonts w:ascii="Calibri" w:hAnsi="Calibri" w:cs="Calibri"/>
              </w:rPr>
              <w:t>,</w:t>
            </w:r>
            <w:r w:rsidRPr="004A7DFE">
              <w:rPr>
                <w:rFonts w:ascii="Calibri" w:hAnsi="Calibri" w:cs="Calibri"/>
              </w:rPr>
              <w:t xml:space="preserve"> Population Health</w:t>
            </w:r>
            <w:r>
              <w:rPr>
                <w:rFonts w:ascii="Calibri" w:hAnsi="Calibri" w:cs="Calibri"/>
              </w:rPr>
              <w:t>,</w:t>
            </w:r>
            <w:r>
              <w:t xml:space="preserve"> </w:t>
            </w:r>
            <w:r w:rsidRPr="004A7DFE">
              <w:rPr>
                <w:rFonts w:ascii="Calibri" w:hAnsi="Calibri" w:cs="Calibri"/>
              </w:rPr>
              <w:t>Housing and Social Justice</w:t>
            </w:r>
            <w:r>
              <w:rPr>
                <w:rFonts w:ascii="Calibri" w:hAnsi="Calibri" w:cs="Calibri"/>
              </w:rPr>
              <w:t>, and in addition HM Revenue and Customs</w:t>
            </w:r>
            <w:r w:rsidRPr="00DF7C93">
              <w:rPr>
                <w:rFonts w:ascii="Calibri" w:hAnsi="Calibri" w:cs="Calibri"/>
              </w:rPr>
              <w:t>.</w:t>
            </w:r>
            <w:r>
              <w:rPr>
                <w:rFonts w:ascii="Calibri" w:hAnsi="Calibri" w:cs="Calibri"/>
              </w:rPr>
              <w:t xml:space="preserve"> </w:t>
            </w:r>
          </w:p>
        </w:tc>
        <w:tc>
          <w:tcPr>
            <w:tcW w:w="1843" w:type="dxa"/>
          </w:tcPr>
          <w:p w14:paraId="06D0FB7D" w14:textId="77777777" w:rsidR="00E52543" w:rsidRPr="008477B8" w:rsidRDefault="00E52543" w:rsidP="003234F5">
            <w:pPr>
              <w:jc w:val="center"/>
              <w:rPr>
                <w:rFonts w:ascii="Calibri" w:hAnsi="Calibri" w:cs="Calibri"/>
                <w:u w:val="single"/>
              </w:rPr>
            </w:pPr>
            <w:r>
              <w:rPr>
                <w:rFonts w:ascii="Calibri" w:hAnsi="Calibri" w:cs="Calibri"/>
                <w:u w:val="single"/>
              </w:rPr>
              <w:t>5</w:t>
            </w:r>
          </w:p>
        </w:tc>
      </w:tr>
      <w:tr w:rsidR="00E52543" w:rsidRPr="00374A2C" w14:paraId="0FDBC25F" w14:textId="77777777" w:rsidTr="003234F5">
        <w:tc>
          <w:tcPr>
            <w:tcW w:w="2547" w:type="dxa"/>
          </w:tcPr>
          <w:p w14:paraId="09BC0ED8" w14:textId="77777777" w:rsidR="00E52543" w:rsidRPr="002B17E1" w:rsidRDefault="00E52543" w:rsidP="003234F5">
            <w:pPr>
              <w:rPr>
                <w:rFonts w:ascii="Calibri" w:hAnsi="Calibri" w:cs="Calibri"/>
                <w:b/>
                <w:bCs/>
              </w:rPr>
            </w:pPr>
            <w:r w:rsidRPr="00374A2C">
              <w:rPr>
                <w:rFonts w:ascii="Calibri" w:hAnsi="Calibri" w:cs="Calibri"/>
                <w:b/>
                <w:bCs/>
              </w:rPr>
              <w:t>Identified Supporting Actions</w:t>
            </w:r>
          </w:p>
          <w:p w14:paraId="0E923955" w14:textId="77777777" w:rsidR="00E52543" w:rsidRPr="002B17E1" w:rsidRDefault="00E52543" w:rsidP="003234F5">
            <w:pPr>
              <w:rPr>
                <w:rFonts w:ascii="Calibri" w:hAnsi="Calibri" w:cs="Calibri"/>
                <w:b/>
                <w:bCs/>
                <w:i/>
                <w:iCs/>
                <w:u w:val="single"/>
              </w:rPr>
            </w:pPr>
            <w:r w:rsidRPr="002B17E1">
              <w:rPr>
                <w:rFonts w:ascii="Calibri" w:hAnsi="Calibri" w:cs="Calibri"/>
                <w:i/>
                <w:iCs/>
              </w:rPr>
              <w:t xml:space="preserve">Strategic documents with specific actions </w:t>
            </w:r>
            <w:r>
              <w:rPr>
                <w:rFonts w:ascii="Calibri" w:hAnsi="Calibri" w:cs="Calibri"/>
                <w:i/>
                <w:iCs/>
              </w:rPr>
              <w:t>aimed at improving diet or obesity.</w:t>
            </w:r>
          </w:p>
        </w:tc>
        <w:tc>
          <w:tcPr>
            <w:tcW w:w="9497" w:type="dxa"/>
          </w:tcPr>
          <w:p w14:paraId="1AAE2296" w14:textId="77777777" w:rsidR="00E52543" w:rsidRPr="008477B8" w:rsidRDefault="00E52543" w:rsidP="003234F5">
            <w:pPr>
              <w:rPr>
                <w:rFonts w:ascii="Calibri" w:hAnsi="Calibri" w:cs="Calibri"/>
                <w:u w:val="single"/>
              </w:rPr>
            </w:pPr>
            <w:r>
              <w:rPr>
                <w:rFonts w:ascii="Calibri" w:hAnsi="Calibri" w:cs="Calibri"/>
                <w:u w:val="single"/>
              </w:rPr>
              <w:t>Eight</w:t>
            </w:r>
            <w:r w:rsidRPr="008477B8">
              <w:rPr>
                <w:rFonts w:ascii="Calibri" w:hAnsi="Calibri" w:cs="Calibri"/>
                <w:u w:val="single"/>
              </w:rPr>
              <w:t xml:space="preserve"> of the </w:t>
            </w:r>
            <w:r>
              <w:rPr>
                <w:rFonts w:ascii="Calibri" w:hAnsi="Calibri" w:cs="Calibri"/>
                <w:u w:val="single"/>
              </w:rPr>
              <w:t>ten policy documents mention specific actions to improve diet or tackle obesity.</w:t>
            </w:r>
          </w:p>
        </w:tc>
        <w:tc>
          <w:tcPr>
            <w:tcW w:w="1843" w:type="dxa"/>
          </w:tcPr>
          <w:p w14:paraId="25718A84" w14:textId="77777777" w:rsidR="00E52543" w:rsidRPr="008477B8" w:rsidRDefault="00E52543" w:rsidP="003234F5">
            <w:pPr>
              <w:jc w:val="center"/>
              <w:rPr>
                <w:rFonts w:ascii="Calibri" w:hAnsi="Calibri" w:cs="Calibri"/>
                <w:u w:val="single"/>
              </w:rPr>
            </w:pPr>
            <w:r>
              <w:rPr>
                <w:rFonts w:ascii="Calibri" w:hAnsi="Calibri" w:cs="Calibri"/>
                <w:u w:val="single"/>
              </w:rPr>
              <w:t>8</w:t>
            </w:r>
          </w:p>
        </w:tc>
      </w:tr>
      <w:tr w:rsidR="00E52543" w:rsidRPr="00374A2C" w14:paraId="38878F0A" w14:textId="77777777" w:rsidTr="003234F5">
        <w:tc>
          <w:tcPr>
            <w:tcW w:w="2547" w:type="dxa"/>
          </w:tcPr>
          <w:p w14:paraId="7CBC76DF" w14:textId="77777777" w:rsidR="00E52543" w:rsidRPr="002B17E1" w:rsidRDefault="00E52543" w:rsidP="003234F5">
            <w:pPr>
              <w:rPr>
                <w:rFonts w:ascii="Calibri" w:hAnsi="Calibri" w:cs="Calibri"/>
                <w:b/>
                <w:bCs/>
              </w:rPr>
            </w:pPr>
            <w:r w:rsidRPr="00374A2C">
              <w:rPr>
                <w:rFonts w:ascii="Calibri" w:hAnsi="Calibri" w:cs="Calibri"/>
                <w:b/>
                <w:bCs/>
              </w:rPr>
              <w:t>Identified Accountable Organisation(s)</w:t>
            </w:r>
          </w:p>
          <w:p w14:paraId="65294A56" w14:textId="77777777" w:rsidR="00E52543" w:rsidRPr="002B17E1" w:rsidRDefault="00E52543" w:rsidP="003234F5">
            <w:pPr>
              <w:rPr>
                <w:rFonts w:ascii="Calibri" w:hAnsi="Calibri" w:cs="Calibri"/>
                <w:b/>
                <w:bCs/>
                <w:i/>
                <w:iCs/>
                <w:u w:val="single"/>
              </w:rPr>
            </w:pPr>
            <w:r w:rsidRPr="002B17E1">
              <w:rPr>
                <w:rFonts w:ascii="Calibri" w:hAnsi="Calibri" w:cs="Calibri"/>
                <w:i/>
                <w:iCs/>
              </w:rPr>
              <w:t>Discreet organisations specifically identified as responsible for delivery of actions.</w:t>
            </w:r>
          </w:p>
        </w:tc>
        <w:tc>
          <w:tcPr>
            <w:tcW w:w="9497" w:type="dxa"/>
          </w:tcPr>
          <w:p w14:paraId="7C15B2DC" w14:textId="77777777" w:rsidR="00E52543" w:rsidRPr="008477B8" w:rsidRDefault="00E52543" w:rsidP="003234F5">
            <w:pPr>
              <w:rPr>
                <w:rFonts w:ascii="Calibri" w:hAnsi="Calibri" w:cs="Calibri"/>
                <w:u w:val="single"/>
              </w:rPr>
            </w:pPr>
            <w:r w:rsidRPr="00260418">
              <w:rPr>
                <w:rFonts w:ascii="Calibri" w:hAnsi="Calibri" w:cs="Calibri"/>
                <w:u w:val="single"/>
              </w:rPr>
              <w:t>All policies/strategies had identifiable accountable organisations.</w:t>
            </w:r>
          </w:p>
        </w:tc>
        <w:tc>
          <w:tcPr>
            <w:tcW w:w="1843" w:type="dxa"/>
          </w:tcPr>
          <w:p w14:paraId="677B9828" w14:textId="77777777" w:rsidR="00E52543" w:rsidRPr="008477B8" w:rsidRDefault="00E52543" w:rsidP="003234F5">
            <w:pPr>
              <w:jc w:val="center"/>
              <w:rPr>
                <w:rFonts w:ascii="Calibri" w:hAnsi="Calibri" w:cs="Calibri"/>
                <w:u w:val="single"/>
              </w:rPr>
            </w:pPr>
            <w:r>
              <w:rPr>
                <w:rFonts w:ascii="Calibri" w:hAnsi="Calibri" w:cs="Calibri"/>
                <w:u w:val="single"/>
              </w:rPr>
              <w:t>25</w:t>
            </w:r>
          </w:p>
          <w:p w14:paraId="0B8928A7" w14:textId="77777777" w:rsidR="00E52543" w:rsidRPr="008477B8" w:rsidRDefault="00E52543" w:rsidP="003234F5">
            <w:pPr>
              <w:jc w:val="center"/>
              <w:rPr>
                <w:rFonts w:ascii="Calibri" w:hAnsi="Calibri" w:cs="Calibri"/>
                <w:u w:val="single"/>
              </w:rPr>
            </w:pPr>
          </w:p>
          <w:p w14:paraId="27E93449" w14:textId="77777777" w:rsidR="00E52543" w:rsidRPr="008477B8" w:rsidRDefault="00E52543" w:rsidP="003234F5">
            <w:pPr>
              <w:jc w:val="center"/>
              <w:rPr>
                <w:rFonts w:ascii="Calibri" w:hAnsi="Calibri" w:cs="Calibri"/>
                <w:u w:val="single"/>
              </w:rPr>
            </w:pPr>
            <w:r w:rsidRPr="008477B8">
              <w:rPr>
                <w:rFonts w:ascii="Calibri" w:hAnsi="Calibri" w:cs="Calibri"/>
                <w:u w:val="single"/>
              </w:rPr>
              <w:t>(</w:t>
            </w:r>
            <w:r>
              <w:rPr>
                <w:rFonts w:ascii="Calibri" w:hAnsi="Calibri" w:cs="Calibri"/>
                <w:u w:val="single"/>
              </w:rPr>
              <w:t>10/10</w:t>
            </w:r>
            <w:r w:rsidRPr="008477B8">
              <w:rPr>
                <w:rFonts w:ascii="Calibri" w:hAnsi="Calibri" w:cs="Calibri"/>
                <w:u w:val="single"/>
              </w:rPr>
              <w:t xml:space="preserve"> = </w:t>
            </w:r>
            <w:r>
              <w:rPr>
                <w:rFonts w:ascii="Calibri" w:hAnsi="Calibri" w:cs="Calibri"/>
                <w:u w:val="single"/>
              </w:rPr>
              <w:t>100</w:t>
            </w:r>
            <w:r w:rsidRPr="008477B8">
              <w:rPr>
                <w:rFonts w:ascii="Calibri" w:hAnsi="Calibri" w:cs="Calibri"/>
                <w:u w:val="single"/>
              </w:rPr>
              <w:t>%)</w:t>
            </w:r>
          </w:p>
        </w:tc>
      </w:tr>
      <w:tr w:rsidR="00E52543" w:rsidRPr="00374A2C" w14:paraId="70CCB4A9" w14:textId="77777777" w:rsidTr="003234F5">
        <w:tc>
          <w:tcPr>
            <w:tcW w:w="2547" w:type="dxa"/>
          </w:tcPr>
          <w:p w14:paraId="43874727" w14:textId="77777777" w:rsidR="00E52543" w:rsidRPr="002B17E1" w:rsidRDefault="00E52543" w:rsidP="003234F5">
            <w:pPr>
              <w:rPr>
                <w:rFonts w:ascii="Calibri" w:hAnsi="Calibri" w:cs="Calibri"/>
                <w:b/>
                <w:bCs/>
              </w:rPr>
            </w:pPr>
            <w:r w:rsidRPr="00374A2C">
              <w:rPr>
                <w:rFonts w:ascii="Calibri" w:hAnsi="Calibri" w:cs="Calibri"/>
                <w:b/>
                <w:bCs/>
              </w:rPr>
              <w:t>Identifiable Reporting Structures</w:t>
            </w:r>
          </w:p>
          <w:p w14:paraId="37C178D0" w14:textId="77777777" w:rsidR="00E52543" w:rsidRPr="002B17E1" w:rsidRDefault="00E52543" w:rsidP="003234F5">
            <w:pPr>
              <w:rPr>
                <w:rFonts w:ascii="Calibri" w:hAnsi="Calibri" w:cs="Calibri"/>
                <w:b/>
                <w:bCs/>
                <w:i/>
                <w:iCs/>
              </w:rPr>
            </w:pPr>
            <w:r w:rsidRPr="002B17E1">
              <w:rPr>
                <w:rFonts w:ascii="Calibri" w:hAnsi="Calibri" w:cs="Calibri"/>
                <w:i/>
                <w:iCs/>
              </w:rPr>
              <w:t>Strategic documents with explicit reporting systems including frequency and format of reports</w:t>
            </w:r>
          </w:p>
        </w:tc>
        <w:tc>
          <w:tcPr>
            <w:tcW w:w="9497" w:type="dxa"/>
          </w:tcPr>
          <w:p w14:paraId="14448EA5" w14:textId="77777777" w:rsidR="00E52543" w:rsidRDefault="00E52543" w:rsidP="003234F5">
            <w:pPr>
              <w:rPr>
                <w:sz w:val="23"/>
                <w:szCs w:val="23"/>
              </w:rPr>
            </w:pPr>
            <w:r>
              <w:rPr>
                <w:rFonts w:ascii="Calibri" w:hAnsi="Calibri" w:cs="Calibri"/>
                <w:u w:val="single"/>
              </w:rPr>
              <w:t>Three</w:t>
            </w:r>
            <w:r w:rsidRPr="008477B8">
              <w:rPr>
                <w:rFonts w:ascii="Calibri" w:hAnsi="Calibri" w:cs="Calibri"/>
                <w:u w:val="single"/>
              </w:rPr>
              <w:t xml:space="preserve"> of the </w:t>
            </w:r>
            <w:r>
              <w:rPr>
                <w:rFonts w:ascii="Calibri" w:hAnsi="Calibri" w:cs="Calibri"/>
                <w:u w:val="single"/>
              </w:rPr>
              <w:t>ten</w:t>
            </w:r>
            <w:r w:rsidRPr="008477B8">
              <w:rPr>
                <w:rFonts w:ascii="Calibri" w:hAnsi="Calibri" w:cs="Calibri"/>
                <w:u w:val="single"/>
              </w:rPr>
              <w:t xml:space="preserve"> policies</w:t>
            </w:r>
            <w:r>
              <w:rPr>
                <w:rFonts w:ascii="Calibri" w:hAnsi="Calibri" w:cs="Calibri"/>
                <w:b/>
                <w:bCs/>
                <w:u w:val="single"/>
              </w:rPr>
              <w:t xml:space="preserve"> </w:t>
            </w:r>
            <w:r>
              <w:rPr>
                <w:sz w:val="23"/>
                <w:szCs w:val="23"/>
              </w:rPr>
              <w:t>identify monitoring and reporting systems.</w:t>
            </w:r>
          </w:p>
          <w:p w14:paraId="25210392" w14:textId="77777777" w:rsidR="00E52543" w:rsidRPr="00374A2C" w:rsidRDefault="00E52543" w:rsidP="003234F5">
            <w:pPr>
              <w:rPr>
                <w:rFonts w:ascii="Calibri" w:hAnsi="Calibri" w:cs="Calibri"/>
                <w:b/>
                <w:bCs/>
                <w:u w:val="single"/>
              </w:rPr>
            </w:pPr>
          </w:p>
        </w:tc>
        <w:tc>
          <w:tcPr>
            <w:tcW w:w="1843" w:type="dxa"/>
          </w:tcPr>
          <w:p w14:paraId="7E92B148" w14:textId="77777777" w:rsidR="00E52543" w:rsidRPr="008477B8" w:rsidRDefault="00E52543" w:rsidP="003234F5">
            <w:pPr>
              <w:jc w:val="center"/>
              <w:rPr>
                <w:rFonts w:ascii="Calibri" w:hAnsi="Calibri" w:cs="Calibri"/>
                <w:u w:val="single"/>
              </w:rPr>
            </w:pPr>
            <w:r w:rsidRPr="008477B8">
              <w:rPr>
                <w:rFonts w:ascii="Calibri" w:hAnsi="Calibri" w:cs="Calibri"/>
                <w:u w:val="single"/>
              </w:rPr>
              <w:t>5</w:t>
            </w:r>
          </w:p>
          <w:p w14:paraId="5CA80EAA" w14:textId="77777777" w:rsidR="00E52543" w:rsidRPr="008477B8" w:rsidRDefault="00E52543" w:rsidP="003234F5">
            <w:pPr>
              <w:jc w:val="center"/>
              <w:rPr>
                <w:rFonts w:ascii="Calibri" w:hAnsi="Calibri" w:cs="Calibri"/>
                <w:u w:val="single"/>
              </w:rPr>
            </w:pPr>
          </w:p>
          <w:p w14:paraId="3647852C" w14:textId="77777777" w:rsidR="00E52543" w:rsidRPr="008477B8" w:rsidRDefault="00E52543" w:rsidP="003234F5">
            <w:pPr>
              <w:jc w:val="center"/>
              <w:rPr>
                <w:rFonts w:ascii="Calibri" w:hAnsi="Calibri" w:cs="Calibri"/>
                <w:u w:val="single"/>
              </w:rPr>
            </w:pPr>
            <w:r w:rsidRPr="008477B8">
              <w:rPr>
                <w:rFonts w:ascii="Calibri" w:hAnsi="Calibri" w:cs="Calibri"/>
                <w:u w:val="single"/>
              </w:rPr>
              <w:t>(</w:t>
            </w:r>
            <w:r>
              <w:rPr>
                <w:rFonts w:ascii="Calibri" w:hAnsi="Calibri" w:cs="Calibri"/>
                <w:u w:val="single"/>
              </w:rPr>
              <w:t>3</w:t>
            </w:r>
            <w:r w:rsidRPr="008477B8">
              <w:rPr>
                <w:rFonts w:ascii="Calibri" w:hAnsi="Calibri" w:cs="Calibri"/>
                <w:u w:val="single"/>
              </w:rPr>
              <w:t>/</w:t>
            </w:r>
            <w:r>
              <w:rPr>
                <w:rFonts w:ascii="Calibri" w:hAnsi="Calibri" w:cs="Calibri"/>
                <w:u w:val="single"/>
              </w:rPr>
              <w:t>10</w:t>
            </w:r>
            <w:r w:rsidRPr="008477B8">
              <w:rPr>
                <w:rFonts w:ascii="Calibri" w:hAnsi="Calibri" w:cs="Calibri"/>
                <w:u w:val="single"/>
              </w:rPr>
              <w:t xml:space="preserve"> = 3</w:t>
            </w:r>
            <w:r>
              <w:rPr>
                <w:rFonts w:ascii="Calibri" w:hAnsi="Calibri" w:cs="Calibri"/>
                <w:u w:val="single"/>
              </w:rPr>
              <w:t>0</w:t>
            </w:r>
            <w:r w:rsidRPr="008477B8">
              <w:rPr>
                <w:rFonts w:ascii="Calibri" w:hAnsi="Calibri" w:cs="Calibri"/>
                <w:u w:val="single"/>
              </w:rPr>
              <w:t>%)</w:t>
            </w:r>
          </w:p>
        </w:tc>
      </w:tr>
      <w:tr w:rsidR="00E52543" w:rsidRPr="00374A2C" w14:paraId="63CFB585" w14:textId="77777777" w:rsidTr="003234F5">
        <w:tc>
          <w:tcPr>
            <w:tcW w:w="2547" w:type="dxa"/>
          </w:tcPr>
          <w:p w14:paraId="783BA2C4" w14:textId="77777777" w:rsidR="00E52543" w:rsidRPr="002B17E1" w:rsidRDefault="00E52543" w:rsidP="003234F5">
            <w:pPr>
              <w:rPr>
                <w:rFonts w:ascii="Calibri" w:hAnsi="Calibri" w:cs="Calibri"/>
                <w:b/>
                <w:bCs/>
              </w:rPr>
            </w:pPr>
            <w:r w:rsidRPr="00374A2C">
              <w:rPr>
                <w:rFonts w:ascii="Calibri" w:hAnsi="Calibri" w:cs="Calibri"/>
                <w:b/>
                <w:bCs/>
              </w:rPr>
              <w:t>Identified Funding</w:t>
            </w:r>
          </w:p>
          <w:p w14:paraId="22E01E49" w14:textId="77777777" w:rsidR="00E52543" w:rsidRPr="002B17E1" w:rsidRDefault="00E52543" w:rsidP="003234F5">
            <w:pPr>
              <w:rPr>
                <w:rFonts w:ascii="Calibri" w:hAnsi="Calibri" w:cs="Calibri"/>
                <w:b/>
                <w:bCs/>
                <w:i/>
                <w:iCs/>
              </w:rPr>
            </w:pPr>
            <w:r w:rsidRPr="002B17E1">
              <w:rPr>
                <w:rFonts w:ascii="Calibri" w:hAnsi="Calibri" w:cs="Calibri"/>
                <w:i/>
                <w:iCs/>
              </w:rPr>
              <w:t>Explicit references to funding to support identified actions</w:t>
            </w:r>
          </w:p>
        </w:tc>
        <w:tc>
          <w:tcPr>
            <w:tcW w:w="9497" w:type="dxa"/>
          </w:tcPr>
          <w:p w14:paraId="0AF68B59" w14:textId="77777777" w:rsidR="00E52543" w:rsidRPr="008477B8" w:rsidRDefault="00E52543" w:rsidP="003234F5">
            <w:pPr>
              <w:rPr>
                <w:rFonts w:ascii="Calibri" w:hAnsi="Calibri" w:cs="Calibri"/>
                <w:u w:val="single"/>
              </w:rPr>
            </w:pPr>
            <w:r w:rsidRPr="00260418">
              <w:rPr>
                <w:rFonts w:ascii="Calibri" w:hAnsi="Calibri" w:cs="Calibri"/>
                <w:u w:val="single"/>
              </w:rPr>
              <w:t xml:space="preserve">Five out of </w:t>
            </w:r>
            <w:r>
              <w:rPr>
                <w:rFonts w:ascii="Calibri" w:hAnsi="Calibri" w:cs="Calibri"/>
                <w:u w:val="single"/>
              </w:rPr>
              <w:t>ten</w:t>
            </w:r>
            <w:r w:rsidRPr="00260418">
              <w:rPr>
                <w:rFonts w:ascii="Calibri" w:hAnsi="Calibri" w:cs="Calibri"/>
                <w:u w:val="single"/>
              </w:rPr>
              <w:t xml:space="preserve"> policies had identified their funding. Many of the sources listed were vague. </w:t>
            </w:r>
          </w:p>
        </w:tc>
        <w:tc>
          <w:tcPr>
            <w:tcW w:w="1843" w:type="dxa"/>
          </w:tcPr>
          <w:p w14:paraId="2F4C8AFB" w14:textId="77777777" w:rsidR="00E52543" w:rsidRPr="008477B8" w:rsidRDefault="00E52543" w:rsidP="003234F5">
            <w:pPr>
              <w:jc w:val="center"/>
              <w:rPr>
                <w:rFonts w:ascii="Calibri" w:hAnsi="Calibri" w:cs="Calibri"/>
                <w:u w:val="single"/>
              </w:rPr>
            </w:pPr>
            <w:r>
              <w:rPr>
                <w:rFonts w:ascii="Calibri" w:hAnsi="Calibri" w:cs="Calibri"/>
                <w:u w:val="single"/>
              </w:rPr>
              <w:t>10</w:t>
            </w:r>
          </w:p>
          <w:p w14:paraId="267C9B1F" w14:textId="77777777" w:rsidR="00E52543" w:rsidRPr="008477B8" w:rsidRDefault="00E52543" w:rsidP="003234F5">
            <w:pPr>
              <w:jc w:val="center"/>
              <w:rPr>
                <w:rFonts w:ascii="Calibri" w:hAnsi="Calibri" w:cs="Calibri"/>
                <w:u w:val="single"/>
              </w:rPr>
            </w:pPr>
          </w:p>
          <w:p w14:paraId="1557C93C" w14:textId="77777777" w:rsidR="00E52543" w:rsidRPr="008477B8" w:rsidRDefault="00E52543" w:rsidP="003234F5">
            <w:pPr>
              <w:jc w:val="center"/>
              <w:rPr>
                <w:rFonts w:ascii="Calibri" w:hAnsi="Calibri" w:cs="Calibri"/>
                <w:u w:val="single"/>
              </w:rPr>
            </w:pPr>
            <w:r w:rsidRPr="008477B8">
              <w:rPr>
                <w:rFonts w:ascii="Calibri" w:hAnsi="Calibri" w:cs="Calibri"/>
                <w:u w:val="single"/>
              </w:rPr>
              <w:t>(</w:t>
            </w:r>
            <w:r>
              <w:rPr>
                <w:rFonts w:ascii="Calibri" w:hAnsi="Calibri" w:cs="Calibri"/>
                <w:u w:val="single"/>
              </w:rPr>
              <w:t>5</w:t>
            </w:r>
            <w:r w:rsidRPr="008477B8">
              <w:rPr>
                <w:rFonts w:ascii="Calibri" w:hAnsi="Calibri" w:cs="Calibri"/>
                <w:u w:val="single"/>
              </w:rPr>
              <w:t>/</w:t>
            </w:r>
            <w:r>
              <w:rPr>
                <w:rFonts w:ascii="Calibri" w:hAnsi="Calibri" w:cs="Calibri"/>
                <w:u w:val="single"/>
              </w:rPr>
              <w:t>10</w:t>
            </w:r>
            <w:r w:rsidRPr="008477B8">
              <w:rPr>
                <w:rFonts w:ascii="Calibri" w:hAnsi="Calibri" w:cs="Calibri"/>
                <w:u w:val="single"/>
              </w:rPr>
              <w:t xml:space="preserve"> = </w:t>
            </w:r>
            <w:r>
              <w:rPr>
                <w:rFonts w:ascii="Calibri" w:hAnsi="Calibri" w:cs="Calibri"/>
                <w:u w:val="single"/>
              </w:rPr>
              <w:t>50</w:t>
            </w:r>
            <w:r w:rsidRPr="008477B8">
              <w:rPr>
                <w:rFonts w:ascii="Calibri" w:hAnsi="Calibri" w:cs="Calibri"/>
                <w:u w:val="single"/>
              </w:rPr>
              <w:t>%)</w:t>
            </w:r>
          </w:p>
        </w:tc>
      </w:tr>
      <w:tr w:rsidR="00E52543" w:rsidRPr="00374A2C" w14:paraId="7BE363CE" w14:textId="77777777" w:rsidTr="003234F5">
        <w:tc>
          <w:tcPr>
            <w:tcW w:w="2547" w:type="dxa"/>
          </w:tcPr>
          <w:p w14:paraId="3273AE65" w14:textId="77777777" w:rsidR="00E52543" w:rsidRPr="002B17E1" w:rsidRDefault="00E52543" w:rsidP="003234F5">
            <w:pPr>
              <w:rPr>
                <w:rFonts w:ascii="Calibri" w:hAnsi="Calibri" w:cs="Calibri"/>
                <w:b/>
                <w:bCs/>
              </w:rPr>
            </w:pPr>
            <w:r w:rsidRPr="00374A2C">
              <w:rPr>
                <w:rFonts w:ascii="Calibri" w:hAnsi="Calibri" w:cs="Calibri"/>
                <w:b/>
                <w:bCs/>
              </w:rPr>
              <w:t>Monitoring and Evaluation Plan</w:t>
            </w:r>
          </w:p>
          <w:p w14:paraId="1AF634EE" w14:textId="77777777" w:rsidR="00E52543" w:rsidRPr="002B17E1" w:rsidRDefault="00E52543" w:rsidP="003234F5">
            <w:pPr>
              <w:rPr>
                <w:rFonts w:ascii="Calibri" w:hAnsi="Calibri" w:cs="Calibri"/>
                <w:b/>
                <w:bCs/>
                <w:i/>
                <w:iCs/>
              </w:rPr>
            </w:pPr>
            <w:r w:rsidRPr="002B17E1">
              <w:rPr>
                <w:rFonts w:ascii="Calibri" w:hAnsi="Calibri" w:cs="Calibri"/>
                <w:i/>
                <w:iCs/>
              </w:rPr>
              <w:t>Explicit reference to monitoring and evaluation of progress and impact of the policy</w:t>
            </w:r>
          </w:p>
        </w:tc>
        <w:tc>
          <w:tcPr>
            <w:tcW w:w="9497" w:type="dxa"/>
          </w:tcPr>
          <w:p w14:paraId="725958F0" w14:textId="77777777" w:rsidR="00E52543" w:rsidRPr="008477B8" w:rsidRDefault="00E52543" w:rsidP="003234F5">
            <w:pPr>
              <w:rPr>
                <w:rFonts w:ascii="Calibri" w:hAnsi="Calibri" w:cs="Calibri"/>
                <w:u w:val="single"/>
              </w:rPr>
            </w:pPr>
            <w:r>
              <w:rPr>
                <w:rFonts w:ascii="Calibri" w:hAnsi="Calibri" w:cs="Calibri"/>
                <w:u w:val="single"/>
              </w:rPr>
              <w:t>Four</w:t>
            </w:r>
            <w:r w:rsidRPr="008477B8">
              <w:rPr>
                <w:rFonts w:ascii="Calibri" w:hAnsi="Calibri" w:cs="Calibri"/>
                <w:u w:val="single"/>
              </w:rPr>
              <w:t xml:space="preserve"> of the </w:t>
            </w:r>
            <w:r>
              <w:rPr>
                <w:rFonts w:ascii="Calibri" w:hAnsi="Calibri" w:cs="Calibri"/>
                <w:u w:val="single"/>
              </w:rPr>
              <w:t xml:space="preserve">ten </w:t>
            </w:r>
            <w:r w:rsidRPr="008477B8">
              <w:rPr>
                <w:rFonts w:ascii="Calibri" w:hAnsi="Calibri" w:cs="Calibri"/>
                <w:u w:val="single"/>
              </w:rPr>
              <w:t xml:space="preserve">policies </w:t>
            </w:r>
            <w:r w:rsidRPr="001B4EAE">
              <w:rPr>
                <w:rFonts w:ascii="Calibri" w:hAnsi="Calibri" w:cs="Calibri"/>
                <w:u w:val="single"/>
              </w:rPr>
              <w:t xml:space="preserve">had a published motoring and evaluation plan. Many policies have promised evaluation plans, but they have not yet been </w:t>
            </w:r>
            <w:r>
              <w:rPr>
                <w:rFonts w:ascii="Calibri" w:hAnsi="Calibri" w:cs="Calibri"/>
                <w:u w:val="single"/>
              </w:rPr>
              <w:t xml:space="preserve">published. </w:t>
            </w:r>
          </w:p>
        </w:tc>
        <w:tc>
          <w:tcPr>
            <w:tcW w:w="1843" w:type="dxa"/>
          </w:tcPr>
          <w:p w14:paraId="68B5DE27" w14:textId="77777777" w:rsidR="00E52543" w:rsidRDefault="00E52543" w:rsidP="003234F5">
            <w:pPr>
              <w:jc w:val="center"/>
              <w:rPr>
                <w:rFonts w:ascii="Calibri" w:hAnsi="Calibri" w:cs="Calibri"/>
                <w:u w:val="single"/>
              </w:rPr>
            </w:pPr>
            <w:r>
              <w:rPr>
                <w:rFonts w:ascii="Calibri" w:hAnsi="Calibri" w:cs="Calibri"/>
                <w:u w:val="single"/>
              </w:rPr>
              <w:t>5</w:t>
            </w:r>
          </w:p>
          <w:p w14:paraId="24187ED2" w14:textId="77777777" w:rsidR="00E52543" w:rsidRDefault="00E52543" w:rsidP="003234F5">
            <w:pPr>
              <w:jc w:val="center"/>
              <w:rPr>
                <w:rFonts w:ascii="Calibri" w:hAnsi="Calibri" w:cs="Calibri"/>
                <w:u w:val="single"/>
              </w:rPr>
            </w:pPr>
          </w:p>
          <w:p w14:paraId="5AC61368" w14:textId="77777777" w:rsidR="00E52543" w:rsidRPr="008477B8" w:rsidRDefault="00E52543" w:rsidP="003234F5">
            <w:pPr>
              <w:jc w:val="center"/>
              <w:rPr>
                <w:rFonts w:ascii="Calibri" w:hAnsi="Calibri" w:cs="Calibri"/>
                <w:u w:val="single"/>
              </w:rPr>
            </w:pPr>
            <w:r>
              <w:rPr>
                <w:rFonts w:ascii="Calibri" w:hAnsi="Calibri" w:cs="Calibri"/>
                <w:u w:val="single"/>
              </w:rPr>
              <w:t>(4/10 = 40%)</w:t>
            </w:r>
          </w:p>
        </w:tc>
      </w:tr>
      <w:tr w:rsidR="00E52543" w:rsidRPr="00374A2C" w14:paraId="7E50BF9E" w14:textId="77777777" w:rsidTr="003234F5">
        <w:tc>
          <w:tcPr>
            <w:tcW w:w="13887" w:type="dxa"/>
            <w:gridSpan w:val="3"/>
          </w:tcPr>
          <w:p w14:paraId="5D78CCAC" w14:textId="77777777" w:rsidR="00E52543" w:rsidRPr="00137ED2" w:rsidRDefault="00E52543" w:rsidP="003234F5">
            <w:pPr>
              <w:jc w:val="center"/>
              <w:rPr>
                <w:rFonts w:ascii="Calibri" w:hAnsi="Calibri" w:cs="Calibri"/>
                <w:b/>
                <w:bCs/>
              </w:rPr>
            </w:pPr>
            <w:r w:rsidRPr="00137ED2">
              <w:rPr>
                <w:rFonts w:ascii="Calibri" w:hAnsi="Calibri" w:cs="Calibri"/>
                <w:b/>
                <w:bCs/>
                <w:sz w:val="28"/>
                <w:szCs w:val="28"/>
              </w:rPr>
              <w:t xml:space="preserve">Score out of 100: </w:t>
            </w:r>
            <w:r>
              <w:rPr>
                <w:rFonts w:ascii="Calibri" w:hAnsi="Calibri" w:cs="Calibri"/>
                <w:b/>
                <w:bCs/>
                <w:sz w:val="28"/>
                <w:szCs w:val="28"/>
              </w:rPr>
              <w:t>58</w:t>
            </w:r>
            <w:r w:rsidRPr="00137ED2">
              <w:rPr>
                <w:rFonts w:ascii="Calibri" w:hAnsi="Calibri" w:cs="Calibri"/>
                <w:b/>
                <w:bCs/>
                <w:sz w:val="28"/>
                <w:szCs w:val="28"/>
              </w:rPr>
              <w:t xml:space="preserve">; Proposed Grade: </w:t>
            </w:r>
            <w:r>
              <w:rPr>
                <w:rFonts w:ascii="Calibri" w:hAnsi="Calibri" w:cs="Calibri"/>
                <w:b/>
                <w:bCs/>
                <w:sz w:val="28"/>
                <w:szCs w:val="28"/>
              </w:rPr>
              <w:t>C+</w:t>
            </w:r>
          </w:p>
        </w:tc>
      </w:tr>
    </w:tbl>
    <w:p w14:paraId="7AD40821" w14:textId="77777777" w:rsidR="00E52543" w:rsidRDefault="00E52543" w:rsidP="00E52543">
      <w:pPr>
        <w:rPr>
          <w:rFonts w:ascii="Calibri" w:hAnsi="Calibri" w:cs="Calibri"/>
        </w:rPr>
      </w:pPr>
    </w:p>
    <w:p w14:paraId="3348E462" w14:textId="77777777" w:rsidR="00E52543" w:rsidRPr="003234F5" w:rsidRDefault="00E52543" w:rsidP="00E52543">
      <w:pPr>
        <w:rPr>
          <w:rFonts w:eastAsia="Times New Roman" w:cs="Times New Roman"/>
          <w:b/>
          <w:bCs/>
          <w:kern w:val="36"/>
          <w:sz w:val="28"/>
          <w:szCs w:val="28"/>
          <w:lang w:eastAsia="en-GB"/>
        </w:rPr>
      </w:pPr>
      <w:r w:rsidRPr="00EB4260">
        <w:rPr>
          <w:rFonts w:eastAsia="Times New Roman" w:cs="Times New Roman"/>
          <w:b/>
          <w:bCs/>
          <w:kern w:val="36"/>
          <w:sz w:val="28"/>
          <w:szCs w:val="28"/>
          <w:lang w:eastAsia="en-GB"/>
        </w:rPr>
        <w:t>Table 7</w:t>
      </w:r>
      <w:r>
        <w:rPr>
          <w:rFonts w:eastAsia="Times New Roman" w:cs="Times New Roman"/>
          <w:b/>
          <w:bCs/>
          <w:kern w:val="36"/>
          <w:sz w:val="28"/>
          <w:szCs w:val="28"/>
          <w:lang w:eastAsia="en-GB"/>
        </w:rPr>
        <w:t>.6</w:t>
      </w:r>
      <w:r w:rsidRPr="00EB4260">
        <w:rPr>
          <w:rFonts w:eastAsia="Times New Roman" w:cs="Times New Roman"/>
          <w:b/>
          <w:bCs/>
          <w:kern w:val="36"/>
          <w:sz w:val="28"/>
          <w:szCs w:val="28"/>
          <w:lang w:eastAsia="en-GB"/>
        </w:rPr>
        <w:t xml:space="preserve"> </w:t>
      </w:r>
      <w:r>
        <w:rPr>
          <w:rFonts w:eastAsia="Times New Roman" w:cs="Times New Roman"/>
          <w:b/>
          <w:bCs/>
          <w:kern w:val="36"/>
          <w:sz w:val="28"/>
          <w:szCs w:val="28"/>
          <w:lang w:eastAsia="en-GB"/>
        </w:rPr>
        <w:t>Policy instruments considered to grade the Government Indicator (diet and obesity)</w:t>
      </w:r>
    </w:p>
    <w:tbl>
      <w:tblPr>
        <w:tblW w:w="1389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3"/>
        <w:gridCol w:w="3260"/>
        <w:gridCol w:w="1995"/>
        <w:gridCol w:w="5518"/>
        <w:gridCol w:w="2126"/>
      </w:tblGrid>
      <w:tr w:rsidR="00E52543" w:rsidRPr="00F10C7B" w14:paraId="72197EF1"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0E6E49F6" w14:textId="77777777" w:rsidR="00E52543" w:rsidRPr="00F10C7B" w:rsidRDefault="00E52543" w:rsidP="003234F5">
            <w:pPr>
              <w:rPr>
                <w:rFonts w:ascii="Calibri" w:hAnsi="Calibri" w:cs="Calibri"/>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14:paraId="38182B59" w14:textId="77777777" w:rsidR="00E52543" w:rsidRPr="00F10C7B" w:rsidRDefault="00E52543" w:rsidP="003234F5">
            <w:pPr>
              <w:jc w:val="center"/>
              <w:rPr>
                <w:rFonts w:ascii="Calibri" w:hAnsi="Calibri" w:cs="Calibri"/>
              </w:rPr>
            </w:pPr>
            <w:r w:rsidRPr="00F10C7B">
              <w:rPr>
                <w:rFonts w:ascii="Calibri" w:hAnsi="Calibri" w:cs="Calibri"/>
                <w:b/>
                <w:bCs/>
              </w:rPr>
              <w:t>Title of policy instrument</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1243CC07" w14:textId="77777777" w:rsidR="00E52543" w:rsidRPr="00F10C7B" w:rsidRDefault="00E52543" w:rsidP="003234F5">
            <w:pPr>
              <w:jc w:val="center"/>
              <w:rPr>
                <w:rFonts w:ascii="Calibri" w:hAnsi="Calibri" w:cs="Calibri"/>
              </w:rPr>
            </w:pPr>
            <w:r w:rsidRPr="00F10C7B">
              <w:rPr>
                <w:rFonts w:ascii="Calibri" w:hAnsi="Calibri" w:cs="Calibri"/>
                <w:b/>
                <w:bCs/>
              </w:rPr>
              <w:t>Published</w:t>
            </w:r>
          </w:p>
        </w:tc>
        <w:tc>
          <w:tcPr>
            <w:tcW w:w="5518" w:type="dxa"/>
            <w:tcBorders>
              <w:top w:val="single" w:sz="6" w:space="0" w:color="000000"/>
              <w:left w:val="single" w:sz="6" w:space="0" w:color="000000"/>
              <w:bottom w:val="single" w:sz="6" w:space="0" w:color="000000"/>
              <w:right w:val="single" w:sz="6" w:space="0" w:color="000000"/>
            </w:tcBorders>
            <w:shd w:val="clear" w:color="auto" w:fill="auto"/>
            <w:hideMark/>
          </w:tcPr>
          <w:p w14:paraId="4DF6E216" w14:textId="77777777" w:rsidR="00E52543" w:rsidRPr="00F10C7B" w:rsidRDefault="00E52543" w:rsidP="003234F5">
            <w:pPr>
              <w:jc w:val="center"/>
              <w:rPr>
                <w:rFonts w:ascii="Calibri" w:hAnsi="Calibri" w:cs="Calibri"/>
              </w:rPr>
            </w:pPr>
            <w:r w:rsidRPr="00F10C7B">
              <w:rPr>
                <w:rFonts w:ascii="Calibri" w:hAnsi="Calibri" w:cs="Calibri"/>
                <w:b/>
                <w:bCs/>
              </w:rPr>
              <w:t>Sector (Directorate)</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134C5304" w14:textId="77777777" w:rsidR="00E52543" w:rsidRPr="00F10C7B" w:rsidRDefault="00E52543" w:rsidP="003234F5">
            <w:pPr>
              <w:jc w:val="center"/>
              <w:rPr>
                <w:rFonts w:ascii="Calibri" w:hAnsi="Calibri" w:cs="Calibri"/>
              </w:rPr>
            </w:pPr>
            <w:r w:rsidRPr="00F10C7B">
              <w:rPr>
                <w:rFonts w:ascii="Calibri" w:hAnsi="Calibri" w:cs="Calibri"/>
                <w:b/>
                <w:bCs/>
              </w:rPr>
              <w:t>Link &amp; notes</w:t>
            </w:r>
          </w:p>
        </w:tc>
      </w:tr>
      <w:tr w:rsidR="00E52543" w:rsidRPr="00F10C7B" w14:paraId="14B1E891"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5727D01F" w14:textId="77777777" w:rsidR="00E52543" w:rsidRPr="00F10C7B" w:rsidRDefault="00E52543" w:rsidP="003234F5">
            <w:pPr>
              <w:rPr>
                <w:rFonts w:ascii="Calibri" w:hAnsi="Calibri" w:cs="Calibri"/>
              </w:rPr>
            </w:pPr>
            <w:r w:rsidRPr="00F10C7B">
              <w:rPr>
                <w:rFonts w:ascii="Calibri" w:hAnsi="Calibri" w:cs="Calibri"/>
                <w:b/>
                <w:bCs/>
              </w:rPr>
              <w:t>1</w:t>
            </w:r>
            <w:r w:rsidRPr="00F10C7B">
              <w:rPr>
                <w:rFonts w:ascii="Calibri" w:hAnsi="Calibri" w:cs="Calibri"/>
              </w:rPr>
              <w:t> </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14:paraId="2D6816BF" w14:textId="77777777" w:rsidR="00E52543" w:rsidRPr="00F10C7B" w:rsidRDefault="00E52543" w:rsidP="003234F5">
            <w:pPr>
              <w:rPr>
                <w:rFonts w:ascii="Calibri" w:hAnsi="Calibri" w:cs="Calibri"/>
              </w:rPr>
            </w:pPr>
            <w:r w:rsidRPr="00F10C7B">
              <w:rPr>
                <w:rFonts w:ascii="Calibri" w:hAnsi="Calibri" w:cs="Calibri"/>
              </w:rPr>
              <w:t>Criteria for healthcare retail standard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0D3D5CEE" w14:textId="77777777" w:rsidR="00E52543" w:rsidRPr="00F10C7B" w:rsidRDefault="00E52543" w:rsidP="003234F5">
            <w:pPr>
              <w:jc w:val="center"/>
              <w:rPr>
                <w:rFonts w:ascii="Calibri" w:hAnsi="Calibri" w:cs="Calibri"/>
              </w:rPr>
            </w:pPr>
            <w:r w:rsidRPr="00F10C7B">
              <w:rPr>
                <w:rFonts w:ascii="Calibri" w:hAnsi="Calibri" w:cs="Calibri"/>
              </w:rPr>
              <w:t>Oct-15</w:t>
            </w:r>
          </w:p>
        </w:tc>
        <w:tc>
          <w:tcPr>
            <w:tcW w:w="5518" w:type="dxa"/>
            <w:tcBorders>
              <w:top w:val="single" w:sz="6" w:space="0" w:color="000000"/>
              <w:left w:val="single" w:sz="6" w:space="0" w:color="000000"/>
              <w:bottom w:val="single" w:sz="6" w:space="0" w:color="000000"/>
              <w:right w:val="single" w:sz="6" w:space="0" w:color="000000"/>
            </w:tcBorders>
            <w:shd w:val="clear" w:color="auto" w:fill="auto"/>
            <w:hideMark/>
          </w:tcPr>
          <w:p w14:paraId="0622CB24" w14:textId="77777777" w:rsidR="00E52543" w:rsidRPr="00F10C7B" w:rsidRDefault="00E52543" w:rsidP="003234F5">
            <w:pPr>
              <w:rPr>
                <w:rFonts w:ascii="Calibri" w:hAnsi="Calibri" w:cs="Calibri"/>
              </w:rPr>
            </w:pPr>
            <w:r w:rsidRPr="00F10C7B">
              <w:rPr>
                <w:rFonts w:ascii="Calibri" w:hAnsi="Calibri" w:cs="Calibri"/>
              </w:rPr>
              <w:t>Community Health and Social Care </w:t>
            </w:r>
            <w:r w:rsidRPr="004A7DFE">
              <w:rPr>
                <w:rFonts w:ascii="Calibri" w:hAnsi="Calibri" w:cs="Calibri"/>
              </w:rPr>
              <w:t>Directorate</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7FD7CBC9" w14:textId="77777777" w:rsidR="00E52543" w:rsidRPr="00F10C7B" w:rsidRDefault="00E52543" w:rsidP="003234F5">
            <w:pPr>
              <w:rPr>
                <w:rFonts w:ascii="Calibri" w:hAnsi="Calibri" w:cs="Calibri"/>
              </w:rPr>
            </w:pPr>
            <w:hyperlink r:id="rId69" w:history="1">
              <w:r w:rsidRPr="00F10C7B">
                <w:rPr>
                  <w:rStyle w:val="Hyperlink"/>
                  <w:rFonts w:ascii="Calibri" w:hAnsi="Calibri" w:cs="Calibri"/>
                </w:rPr>
                <w:t>Link</w:t>
              </w:r>
            </w:hyperlink>
            <w:r w:rsidRPr="00F10C7B">
              <w:rPr>
                <w:rFonts w:ascii="Calibri" w:hAnsi="Calibri" w:cs="Calibri"/>
              </w:rPr>
              <w:t> </w:t>
            </w:r>
          </w:p>
        </w:tc>
      </w:tr>
      <w:tr w:rsidR="00E52543" w:rsidRPr="00F10C7B" w14:paraId="1F22F6A0"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0833B09C" w14:textId="77777777" w:rsidR="00E52543" w:rsidRPr="00F10C7B" w:rsidRDefault="00E52543" w:rsidP="003234F5">
            <w:pPr>
              <w:rPr>
                <w:rFonts w:ascii="Calibri" w:hAnsi="Calibri" w:cs="Calibri"/>
              </w:rPr>
            </w:pPr>
            <w:r w:rsidRPr="00F10C7B">
              <w:rPr>
                <w:rFonts w:ascii="Calibri" w:hAnsi="Calibri" w:cs="Calibri"/>
                <w:b/>
                <w:bCs/>
              </w:rPr>
              <w:t>2</w:t>
            </w:r>
            <w:r w:rsidRPr="00F10C7B">
              <w:rPr>
                <w:rFonts w:ascii="Calibri" w:hAnsi="Calibri" w:cs="Calibri"/>
              </w:rPr>
              <w:t> </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14:paraId="420B1169" w14:textId="77777777" w:rsidR="00E52543" w:rsidRPr="00F10C7B" w:rsidRDefault="00E52543" w:rsidP="003234F5">
            <w:pPr>
              <w:rPr>
                <w:rFonts w:ascii="Calibri" w:hAnsi="Calibri" w:cs="Calibri"/>
              </w:rPr>
            </w:pPr>
            <w:r w:rsidRPr="00F10C7B">
              <w:rPr>
                <w:rFonts w:ascii="Calibri" w:hAnsi="Calibri" w:cs="Calibri"/>
              </w:rPr>
              <w:t>Better eating, better learning: a new context for school food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3DA7C096" w14:textId="77777777" w:rsidR="00E52543" w:rsidRPr="00F10C7B" w:rsidRDefault="00E52543" w:rsidP="003234F5">
            <w:pPr>
              <w:jc w:val="center"/>
              <w:rPr>
                <w:rFonts w:ascii="Calibri" w:hAnsi="Calibri" w:cs="Calibri"/>
              </w:rPr>
            </w:pPr>
            <w:r w:rsidRPr="00F10C7B">
              <w:rPr>
                <w:rFonts w:ascii="Calibri" w:hAnsi="Calibri" w:cs="Calibri"/>
              </w:rPr>
              <w:t>Mar-14</w:t>
            </w:r>
          </w:p>
          <w:p w14:paraId="6794135B" w14:textId="77777777" w:rsidR="00E52543" w:rsidRPr="00F10C7B" w:rsidRDefault="00E52543" w:rsidP="003234F5">
            <w:pPr>
              <w:jc w:val="center"/>
              <w:rPr>
                <w:rFonts w:ascii="Calibri" w:hAnsi="Calibri" w:cs="Calibri"/>
              </w:rPr>
            </w:pPr>
          </w:p>
        </w:tc>
        <w:tc>
          <w:tcPr>
            <w:tcW w:w="5518" w:type="dxa"/>
            <w:tcBorders>
              <w:top w:val="single" w:sz="6" w:space="0" w:color="000000"/>
              <w:left w:val="single" w:sz="6" w:space="0" w:color="000000"/>
              <w:bottom w:val="single" w:sz="6" w:space="0" w:color="000000"/>
              <w:right w:val="single" w:sz="6" w:space="0" w:color="000000"/>
            </w:tcBorders>
            <w:shd w:val="clear" w:color="auto" w:fill="auto"/>
            <w:hideMark/>
          </w:tcPr>
          <w:p w14:paraId="36B7743C" w14:textId="77777777" w:rsidR="00E52543" w:rsidRPr="00F10C7B" w:rsidRDefault="00E52543" w:rsidP="003234F5">
            <w:pPr>
              <w:rPr>
                <w:rFonts w:ascii="Calibri" w:hAnsi="Calibri" w:cs="Calibri"/>
              </w:rPr>
            </w:pPr>
            <w:r w:rsidRPr="00F10C7B">
              <w:rPr>
                <w:rFonts w:ascii="Calibri" w:hAnsi="Calibri" w:cs="Calibri"/>
              </w:rPr>
              <w:t>Agriculture and Rural Economy Directorate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36F2E409" w14:textId="77777777" w:rsidR="00E52543" w:rsidRPr="00F10C7B" w:rsidRDefault="00E52543" w:rsidP="003234F5">
            <w:pPr>
              <w:rPr>
                <w:rFonts w:ascii="Calibri" w:hAnsi="Calibri" w:cs="Calibri"/>
              </w:rPr>
            </w:pPr>
            <w:hyperlink r:id="rId70" w:history="1">
              <w:r w:rsidRPr="000419AC">
                <w:rPr>
                  <w:rStyle w:val="Hyperlink"/>
                  <w:rFonts w:ascii="Calibri" w:hAnsi="Calibri" w:cs="Calibri"/>
                </w:rPr>
                <w:t>Link</w:t>
              </w:r>
            </w:hyperlink>
            <w:r w:rsidRPr="00F10C7B">
              <w:rPr>
                <w:rFonts w:ascii="Calibri" w:hAnsi="Calibri" w:cs="Calibri"/>
              </w:rPr>
              <w:t> </w:t>
            </w:r>
          </w:p>
        </w:tc>
      </w:tr>
      <w:tr w:rsidR="00E52543" w:rsidRPr="00F10C7B" w14:paraId="67BC5800"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1B5C2B4C" w14:textId="77777777" w:rsidR="00E52543" w:rsidRPr="00F10C7B" w:rsidRDefault="00E52543" w:rsidP="003234F5">
            <w:pPr>
              <w:rPr>
                <w:rFonts w:ascii="Calibri" w:hAnsi="Calibri" w:cs="Calibri"/>
              </w:rPr>
            </w:pPr>
            <w:r w:rsidRPr="00F10C7B">
              <w:rPr>
                <w:rFonts w:ascii="Calibri" w:hAnsi="Calibri" w:cs="Calibri"/>
                <w:b/>
                <w:bCs/>
              </w:rPr>
              <w:t>3</w:t>
            </w:r>
            <w:r w:rsidRPr="00F10C7B">
              <w:rPr>
                <w:rFonts w:ascii="Calibri" w:hAnsi="Calibri" w:cs="Calibri"/>
              </w:rPr>
              <w:t> </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14:paraId="39F5CDEA" w14:textId="77777777" w:rsidR="00E52543" w:rsidRPr="00F10C7B" w:rsidRDefault="00E52543" w:rsidP="003234F5">
            <w:pPr>
              <w:rPr>
                <w:rFonts w:ascii="Calibri" w:hAnsi="Calibri" w:cs="Calibri"/>
              </w:rPr>
            </w:pPr>
            <w:r w:rsidRPr="00F10C7B">
              <w:rPr>
                <w:rFonts w:ascii="Calibri" w:hAnsi="Calibri" w:cs="Calibri"/>
              </w:rPr>
              <w:t>Beyond the School Gate - Improving Food Choices in the School Community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5E9528A" w14:textId="77777777" w:rsidR="00E52543" w:rsidRPr="00F10C7B" w:rsidRDefault="00E52543" w:rsidP="003234F5">
            <w:pPr>
              <w:jc w:val="center"/>
              <w:rPr>
                <w:rFonts w:ascii="Calibri" w:hAnsi="Calibri" w:cs="Calibri"/>
              </w:rPr>
            </w:pPr>
            <w:r w:rsidRPr="00F10C7B">
              <w:rPr>
                <w:rFonts w:ascii="Calibri" w:hAnsi="Calibri" w:cs="Calibri"/>
              </w:rPr>
              <w:t>Jun-14</w:t>
            </w:r>
          </w:p>
        </w:tc>
        <w:tc>
          <w:tcPr>
            <w:tcW w:w="5518" w:type="dxa"/>
            <w:tcBorders>
              <w:top w:val="single" w:sz="6" w:space="0" w:color="000000"/>
              <w:left w:val="single" w:sz="6" w:space="0" w:color="000000"/>
              <w:bottom w:val="single" w:sz="6" w:space="0" w:color="000000"/>
              <w:right w:val="single" w:sz="6" w:space="0" w:color="000000"/>
            </w:tcBorders>
            <w:shd w:val="clear" w:color="auto" w:fill="auto"/>
            <w:hideMark/>
          </w:tcPr>
          <w:p w14:paraId="03104B62" w14:textId="77777777" w:rsidR="00E52543" w:rsidRPr="00F10C7B" w:rsidRDefault="00E52543" w:rsidP="003234F5">
            <w:pPr>
              <w:rPr>
                <w:rFonts w:ascii="Calibri" w:hAnsi="Calibri" w:cs="Calibri"/>
              </w:rPr>
            </w:pPr>
            <w:r w:rsidRPr="00F10C7B">
              <w:rPr>
                <w:rFonts w:ascii="Calibri" w:hAnsi="Calibri" w:cs="Calibri"/>
              </w:rPr>
              <w:t>Community Health and Social Care </w:t>
            </w:r>
            <w:r w:rsidRPr="004A7DFE">
              <w:rPr>
                <w:rFonts w:ascii="Calibri" w:hAnsi="Calibri" w:cs="Calibri"/>
              </w:rPr>
              <w:t>Directorate</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23289A83" w14:textId="77777777" w:rsidR="00E52543" w:rsidRPr="00F10C7B" w:rsidRDefault="00E52543" w:rsidP="003234F5">
            <w:pPr>
              <w:rPr>
                <w:rFonts w:ascii="Calibri" w:hAnsi="Calibri" w:cs="Calibri"/>
              </w:rPr>
            </w:pPr>
            <w:hyperlink r:id="rId71" w:history="1">
              <w:r w:rsidRPr="00F10C7B">
                <w:rPr>
                  <w:rStyle w:val="Hyperlink"/>
                  <w:rFonts w:ascii="Calibri" w:hAnsi="Calibri" w:cs="Calibri"/>
                </w:rPr>
                <w:t>Link </w:t>
              </w:r>
            </w:hyperlink>
          </w:p>
        </w:tc>
      </w:tr>
      <w:tr w:rsidR="00E52543" w:rsidRPr="00F10C7B" w14:paraId="6BE50C00"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3F88E2A0" w14:textId="77777777" w:rsidR="00E52543" w:rsidRPr="00F10C7B" w:rsidRDefault="00E52543" w:rsidP="003234F5">
            <w:pPr>
              <w:rPr>
                <w:rFonts w:ascii="Calibri" w:hAnsi="Calibri" w:cs="Calibri"/>
              </w:rPr>
            </w:pPr>
            <w:r w:rsidRPr="00F10C7B">
              <w:rPr>
                <w:rFonts w:ascii="Calibri" w:hAnsi="Calibri" w:cs="Calibri"/>
                <w:b/>
                <w:bCs/>
              </w:rPr>
              <w:t>4</w:t>
            </w:r>
            <w:r w:rsidRPr="00F10C7B">
              <w:rPr>
                <w:rFonts w:ascii="Calibri" w:hAnsi="Calibri" w:cs="Calibri"/>
              </w:rPr>
              <w:t> </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14:paraId="016AD9D0" w14:textId="77777777" w:rsidR="00E52543" w:rsidRPr="00F10C7B" w:rsidRDefault="00E52543" w:rsidP="003234F5">
            <w:pPr>
              <w:rPr>
                <w:rFonts w:ascii="Calibri" w:hAnsi="Calibri" w:cs="Calibri"/>
              </w:rPr>
            </w:pPr>
            <w:r w:rsidRPr="00F10C7B">
              <w:rPr>
                <w:rFonts w:ascii="Calibri" w:hAnsi="Calibri" w:cs="Calibri"/>
              </w:rPr>
              <w:t>A fairer, healthier Scotland: A strategic Framework for Action (2017-2022)</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B32B130" w14:textId="77777777" w:rsidR="00E52543" w:rsidRPr="00F10C7B" w:rsidRDefault="00E52543" w:rsidP="003234F5">
            <w:pPr>
              <w:jc w:val="center"/>
              <w:rPr>
                <w:rFonts w:ascii="Calibri" w:hAnsi="Calibri" w:cs="Calibri"/>
              </w:rPr>
            </w:pPr>
            <w:r w:rsidRPr="00F10C7B">
              <w:rPr>
                <w:rFonts w:ascii="Calibri" w:hAnsi="Calibri" w:cs="Calibri"/>
              </w:rPr>
              <w:t>May-17</w:t>
            </w:r>
          </w:p>
        </w:tc>
        <w:tc>
          <w:tcPr>
            <w:tcW w:w="5518" w:type="dxa"/>
            <w:tcBorders>
              <w:top w:val="single" w:sz="6" w:space="0" w:color="000000"/>
              <w:left w:val="single" w:sz="6" w:space="0" w:color="000000"/>
              <w:bottom w:val="single" w:sz="6" w:space="0" w:color="000000"/>
              <w:right w:val="single" w:sz="6" w:space="0" w:color="000000"/>
            </w:tcBorders>
            <w:shd w:val="clear" w:color="auto" w:fill="auto"/>
            <w:hideMark/>
          </w:tcPr>
          <w:p w14:paraId="62C47A38" w14:textId="77777777" w:rsidR="00E52543" w:rsidRPr="00F10C7B" w:rsidRDefault="00E52543" w:rsidP="003234F5">
            <w:pPr>
              <w:rPr>
                <w:rFonts w:ascii="Calibri" w:hAnsi="Calibri" w:cs="Calibri"/>
              </w:rPr>
            </w:pPr>
            <w:r w:rsidRPr="00F10C7B">
              <w:rPr>
                <w:rFonts w:ascii="Calibri" w:hAnsi="Calibri" w:cs="Calibri"/>
              </w:rPr>
              <w:t>NHS Health Scotland/ Community Health and Social Care Directorate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26919E6C" w14:textId="77777777" w:rsidR="00E52543" w:rsidRDefault="00E52543" w:rsidP="003234F5">
            <w:pPr>
              <w:rPr>
                <w:rFonts w:ascii="Calibri" w:hAnsi="Calibri" w:cs="Calibri"/>
              </w:rPr>
            </w:pPr>
            <w:hyperlink r:id="rId72" w:history="1">
              <w:r w:rsidRPr="00F10C7B">
                <w:rPr>
                  <w:rStyle w:val="Hyperlink"/>
                  <w:rFonts w:ascii="Calibri" w:hAnsi="Calibri" w:cs="Calibri"/>
                </w:rPr>
                <w:t>Link</w:t>
              </w:r>
            </w:hyperlink>
            <w:r w:rsidRPr="00F10C7B">
              <w:rPr>
                <w:rFonts w:ascii="Calibri" w:hAnsi="Calibri" w:cs="Calibri"/>
              </w:rPr>
              <w:t> </w:t>
            </w:r>
          </w:p>
          <w:p w14:paraId="3B77542D" w14:textId="77777777" w:rsidR="00E52543" w:rsidRPr="00F10C7B" w:rsidRDefault="00E52543" w:rsidP="003234F5">
            <w:pPr>
              <w:rPr>
                <w:rFonts w:ascii="Calibri" w:hAnsi="Calibri" w:cs="Calibri"/>
              </w:rPr>
            </w:pPr>
            <w:r w:rsidRPr="000419AC">
              <w:rPr>
                <w:rFonts w:ascii="Calibri" w:hAnsi="Calibri" w:cs="Calibri"/>
              </w:rPr>
              <w:t>Associated with National Performance Framework</w:t>
            </w:r>
          </w:p>
        </w:tc>
      </w:tr>
      <w:tr w:rsidR="00E52543" w:rsidRPr="00F10C7B" w14:paraId="6B00EBC3"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4D0A4B0B" w14:textId="77777777" w:rsidR="00E52543" w:rsidRPr="00F10C7B" w:rsidRDefault="00E52543" w:rsidP="003234F5">
            <w:pPr>
              <w:rPr>
                <w:rFonts w:ascii="Calibri" w:hAnsi="Calibri" w:cs="Calibri"/>
              </w:rPr>
            </w:pPr>
            <w:r w:rsidRPr="00F10C7B">
              <w:rPr>
                <w:rFonts w:ascii="Calibri" w:hAnsi="Calibri" w:cs="Calibri"/>
                <w:b/>
                <w:bCs/>
              </w:rPr>
              <w:t>5</w:t>
            </w:r>
            <w:r w:rsidRPr="00F10C7B">
              <w:rPr>
                <w:rFonts w:ascii="Calibri" w:hAnsi="Calibri" w:cs="Calibri"/>
              </w:rPr>
              <w:t> </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14:paraId="1EEDC655" w14:textId="77777777" w:rsidR="00E52543" w:rsidRPr="00F10C7B" w:rsidRDefault="00E52543" w:rsidP="003234F5">
            <w:pPr>
              <w:rPr>
                <w:rFonts w:ascii="Calibri" w:hAnsi="Calibri" w:cs="Calibri"/>
              </w:rPr>
            </w:pPr>
            <w:r w:rsidRPr="00F10C7B">
              <w:rPr>
                <w:rFonts w:ascii="Calibri" w:hAnsi="Calibri" w:cs="Calibri"/>
              </w:rPr>
              <w:t>Recipe for Success: Scotland’s national food and drink policy, becoming a Good Food Nation</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2DE5C7C" w14:textId="77777777" w:rsidR="00E52543" w:rsidRPr="00F10C7B" w:rsidRDefault="00E52543" w:rsidP="003234F5">
            <w:pPr>
              <w:jc w:val="center"/>
              <w:rPr>
                <w:rFonts w:ascii="Calibri" w:hAnsi="Calibri" w:cs="Calibri"/>
              </w:rPr>
            </w:pPr>
            <w:r w:rsidRPr="00F10C7B">
              <w:rPr>
                <w:rFonts w:ascii="Calibri" w:hAnsi="Calibri" w:cs="Calibri"/>
              </w:rPr>
              <w:t>Jun-14</w:t>
            </w:r>
          </w:p>
          <w:p w14:paraId="478EBDF7" w14:textId="77777777" w:rsidR="00E52543" w:rsidRPr="00F10C7B" w:rsidRDefault="00E52543" w:rsidP="003234F5">
            <w:pPr>
              <w:jc w:val="center"/>
              <w:rPr>
                <w:rFonts w:ascii="Calibri" w:hAnsi="Calibri" w:cs="Calibri"/>
              </w:rPr>
            </w:pPr>
          </w:p>
        </w:tc>
        <w:tc>
          <w:tcPr>
            <w:tcW w:w="5518" w:type="dxa"/>
            <w:tcBorders>
              <w:top w:val="single" w:sz="6" w:space="0" w:color="000000"/>
              <w:left w:val="single" w:sz="6" w:space="0" w:color="000000"/>
              <w:bottom w:val="single" w:sz="6" w:space="0" w:color="000000"/>
              <w:right w:val="single" w:sz="6" w:space="0" w:color="000000"/>
            </w:tcBorders>
            <w:shd w:val="clear" w:color="auto" w:fill="auto"/>
            <w:hideMark/>
          </w:tcPr>
          <w:p w14:paraId="4A1A7A0E" w14:textId="77777777" w:rsidR="00E52543" w:rsidRPr="00F10C7B" w:rsidRDefault="00E52543" w:rsidP="003234F5">
            <w:pPr>
              <w:rPr>
                <w:rFonts w:ascii="Calibri" w:hAnsi="Calibri" w:cs="Calibri"/>
              </w:rPr>
            </w:pPr>
            <w:r w:rsidRPr="00F10C7B">
              <w:rPr>
                <w:rFonts w:ascii="Calibri" w:hAnsi="Calibri" w:cs="Calibri"/>
              </w:rPr>
              <w:t>Agriculture and Rural Economy Directorate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74C9564E" w14:textId="77777777" w:rsidR="00E52543" w:rsidRPr="00F10C7B" w:rsidRDefault="00E52543" w:rsidP="003234F5">
            <w:pPr>
              <w:rPr>
                <w:rFonts w:ascii="Calibri" w:hAnsi="Calibri" w:cs="Calibri"/>
              </w:rPr>
            </w:pPr>
            <w:hyperlink r:id="rId73" w:history="1">
              <w:r w:rsidRPr="000419AC">
                <w:rPr>
                  <w:rStyle w:val="Hyperlink"/>
                  <w:rFonts w:ascii="Calibri" w:hAnsi="Calibri" w:cs="Calibri"/>
                </w:rPr>
                <w:t>Link</w:t>
              </w:r>
            </w:hyperlink>
            <w:r w:rsidRPr="00F10C7B">
              <w:rPr>
                <w:rFonts w:ascii="Calibri" w:hAnsi="Calibri" w:cs="Calibri"/>
              </w:rPr>
              <w:t> </w:t>
            </w:r>
          </w:p>
        </w:tc>
      </w:tr>
      <w:tr w:rsidR="00E52543" w:rsidRPr="00F10C7B" w14:paraId="13DA0B31"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D619ABE" w14:textId="77777777" w:rsidR="00E52543" w:rsidRPr="00F10C7B" w:rsidRDefault="00E52543" w:rsidP="003234F5">
            <w:pPr>
              <w:rPr>
                <w:rFonts w:ascii="Calibri" w:hAnsi="Calibri" w:cs="Calibri"/>
                <w:b/>
                <w:bCs/>
              </w:rPr>
            </w:pPr>
            <w:r>
              <w:rPr>
                <w:rFonts w:ascii="Calibri" w:hAnsi="Calibri" w:cs="Calibri"/>
                <w:b/>
                <w:bCs/>
              </w:rPr>
              <w:t>6</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447A2B16" w14:textId="77777777" w:rsidR="00E52543" w:rsidRPr="00F10C7B" w:rsidRDefault="00E52543" w:rsidP="003234F5">
            <w:pPr>
              <w:rPr>
                <w:rFonts w:ascii="Calibri" w:hAnsi="Calibri" w:cs="Calibri"/>
              </w:rPr>
            </w:pPr>
            <w:r>
              <w:t>Revised Dietary Goals for Scotland</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1DD3D073" w14:textId="77777777" w:rsidR="00E52543" w:rsidRPr="00F10C7B" w:rsidRDefault="00E52543" w:rsidP="003234F5">
            <w:pPr>
              <w:jc w:val="center"/>
              <w:rPr>
                <w:rFonts w:ascii="Calibri" w:hAnsi="Calibri" w:cs="Calibri"/>
              </w:rPr>
            </w:pPr>
            <w:r>
              <w:rPr>
                <w:rFonts w:ascii="Calibri" w:hAnsi="Calibri" w:cs="Calibri"/>
              </w:rPr>
              <w:t>Mar-16</w:t>
            </w:r>
          </w:p>
        </w:tc>
        <w:tc>
          <w:tcPr>
            <w:tcW w:w="5518" w:type="dxa"/>
            <w:tcBorders>
              <w:top w:val="single" w:sz="6" w:space="0" w:color="000000"/>
              <w:left w:val="single" w:sz="6" w:space="0" w:color="000000"/>
              <w:bottom w:val="single" w:sz="6" w:space="0" w:color="000000"/>
              <w:right w:val="single" w:sz="6" w:space="0" w:color="000000"/>
            </w:tcBorders>
            <w:shd w:val="clear" w:color="auto" w:fill="auto"/>
          </w:tcPr>
          <w:p w14:paraId="61F07D01" w14:textId="77777777" w:rsidR="00E52543" w:rsidRPr="00F10C7B" w:rsidRDefault="00E52543" w:rsidP="003234F5">
            <w:pPr>
              <w:rPr>
                <w:rFonts w:ascii="Calibri" w:hAnsi="Calibri" w:cs="Calibri"/>
              </w:rPr>
            </w:pPr>
            <w:r w:rsidRPr="00D40C4C">
              <w:rPr>
                <w:rFonts w:ascii="Calibri" w:hAnsi="Calibri" w:cs="Calibri"/>
              </w:rPr>
              <w:t>Population Health Directorate</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1F8762A" w14:textId="77777777" w:rsidR="00E52543" w:rsidRDefault="00E52543" w:rsidP="003234F5">
            <w:pPr>
              <w:rPr>
                <w:rFonts w:ascii="Calibri" w:hAnsi="Calibri" w:cs="Calibri"/>
              </w:rPr>
            </w:pPr>
            <w:hyperlink r:id="rId74" w:history="1">
              <w:r w:rsidRPr="00D40C4C">
                <w:rPr>
                  <w:rStyle w:val="Hyperlink"/>
                  <w:rFonts w:ascii="Calibri" w:hAnsi="Calibri" w:cs="Calibri"/>
                </w:rPr>
                <w:t>Link</w:t>
              </w:r>
            </w:hyperlink>
          </w:p>
        </w:tc>
      </w:tr>
      <w:tr w:rsidR="00E52543" w:rsidRPr="00F10C7B" w14:paraId="3EA5C150"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2EEC19CA" w14:textId="77777777" w:rsidR="00E52543" w:rsidRPr="00F10C7B" w:rsidRDefault="00E52543" w:rsidP="003234F5">
            <w:pPr>
              <w:rPr>
                <w:rFonts w:ascii="Calibri" w:hAnsi="Calibri" w:cs="Calibri"/>
              </w:rPr>
            </w:pPr>
            <w:r>
              <w:rPr>
                <w:rFonts w:ascii="Calibri" w:hAnsi="Calibri" w:cs="Calibri"/>
                <w:b/>
                <w:bCs/>
              </w:rPr>
              <w:t>7</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14:paraId="32A61CB2" w14:textId="77777777" w:rsidR="00E52543" w:rsidRPr="00F10C7B" w:rsidRDefault="00E52543" w:rsidP="003234F5">
            <w:pPr>
              <w:rPr>
                <w:rFonts w:ascii="Calibri" w:hAnsi="Calibri" w:cs="Calibri"/>
              </w:rPr>
            </w:pPr>
            <w:r w:rsidRPr="00F10C7B">
              <w:rPr>
                <w:rFonts w:ascii="Calibri" w:hAnsi="Calibri" w:cs="Calibri"/>
              </w:rPr>
              <w:t>Soft Drinks Industry Levy (2018), under The Finance Act (2017)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9A7A8FD" w14:textId="77777777" w:rsidR="00E52543" w:rsidRPr="00F10C7B" w:rsidRDefault="00E52543" w:rsidP="003234F5">
            <w:pPr>
              <w:jc w:val="center"/>
              <w:rPr>
                <w:rFonts w:ascii="Calibri" w:hAnsi="Calibri" w:cs="Calibri"/>
              </w:rPr>
            </w:pPr>
            <w:r w:rsidRPr="00F10C7B">
              <w:rPr>
                <w:rFonts w:ascii="Calibri" w:hAnsi="Calibri" w:cs="Calibri"/>
              </w:rPr>
              <w:t>Implemented Apr-18</w:t>
            </w:r>
          </w:p>
          <w:p w14:paraId="200AC0F6" w14:textId="77777777" w:rsidR="00E52543" w:rsidRPr="00F10C7B" w:rsidRDefault="00E52543" w:rsidP="003234F5">
            <w:pPr>
              <w:jc w:val="center"/>
              <w:rPr>
                <w:rFonts w:ascii="Calibri" w:hAnsi="Calibri" w:cs="Calibri"/>
              </w:rPr>
            </w:pPr>
            <w:r w:rsidRPr="00F10C7B">
              <w:rPr>
                <w:rFonts w:ascii="Calibri" w:hAnsi="Calibri" w:cs="Calibri"/>
              </w:rPr>
              <w:t>Finance Act Mar-17</w:t>
            </w:r>
          </w:p>
        </w:tc>
        <w:tc>
          <w:tcPr>
            <w:tcW w:w="5518" w:type="dxa"/>
            <w:tcBorders>
              <w:top w:val="single" w:sz="6" w:space="0" w:color="000000"/>
              <w:left w:val="single" w:sz="6" w:space="0" w:color="000000"/>
              <w:bottom w:val="single" w:sz="6" w:space="0" w:color="000000"/>
              <w:right w:val="single" w:sz="6" w:space="0" w:color="000000"/>
            </w:tcBorders>
            <w:shd w:val="clear" w:color="auto" w:fill="auto"/>
            <w:hideMark/>
          </w:tcPr>
          <w:p w14:paraId="5799690B" w14:textId="77777777" w:rsidR="00E52543" w:rsidRPr="00F10C7B" w:rsidRDefault="00E52543" w:rsidP="003234F5">
            <w:pPr>
              <w:rPr>
                <w:rFonts w:ascii="Calibri" w:hAnsi="Calibri" w:cs="Calibri"/>
              </w:rPr>
            </w:pPr>
            <w:r w:rsidRPr="00F10C7B">
              <w:rPr>
                <w:rFonts w:ascii="Calibri" w:hAnsi="Calibri" w:cs="Calibri"/>
              </w:rPr>
              <w:t>HM Revenue and Customs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335FB65F" w14:textId="77777777" w:rsidR="00E52543" w:rsidRDefault="00E52543" w:rsidP="003234F5">
            <w:pPr>
              <w:rPr>
                <w:rFonts w:ascii="Calibri" w:hAnsi="Calibri" w:cs="Calibri"/>
              </w:rPr>
            </w:pPr>
            <w:hyperlink r:id="rId75" w:history="1">
              <w:r w:rsidRPr="004A7DFE">
                <w:rPr>
                  <w:rStyle w:val="Hyperlink"/>
                  <w:rFonts w:ascii="Calibri" w:hAnsi="Calibri" w:cs="Calibri"/>
                </w:rPr>
                <w:t>Link </w:t>
              </w:r>
            </w:hyperlink>
          </w:p>
          <w:p w14:paraId="79E41926" w14:textId="77777777" w:rsidR="00E52543" w:rsidRPr="00F10C7B" w:rsidRDefault="00E52543" w:rsidP="003234F5">
            <w:pPr>
              <w:rPr>
                <w:rFonts w:ascii="Calibri" w:hAnsi="Calibri" w:cs="Calibri"/>
              </w:rPr>
            </w:pPr>
            <w:hyperlink r:id="rId76" w:history="1">
              <w:r w:rsidRPr="004A7DFE">
                <w:rPr>
                  <w:rStyle w:val="Hyperlink"/>
                  <w:rFonts w:ascii="Calibri" w:hAnsi="Calibri" w:cs="Calibri"/>
                </w:rPr>
                <w:t>The Finance Act (2017)</w:t>
              </w:r>
            </w:hyperlink>
          </w:p>
        </w:tc>
      </w:tr>
      <w:tr w:rsidR="00E52543" w:rsidRPr="00F10C7B" w14:paraId="3C94EF04"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77F5F34D" w14:textId="77777777" w:rsidR="00E52543" w:rsidRPr="00F10C7B" w:rsidRDefault="00E52543" w:rsidP="003234F5">
            <w:pPr>
              <w:rPr>
                <w:rFonts w:ascii="Calibri" w:hAnsi="Calibri" w:cs="Calibri"/>
              </w:rPr>
            </w:pPr>
            <w:r>
              <w:rPr>
                <w:rFonts w:ascii="Calibri" w:hAnsi="Calibri" w:cs="Calibri"/>
                <w:b/>
                <w:bCs/>
              </w:rPr>
              <w:t>8</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14:paraId="3183B7A0" w14:textId="77777777" w:rsidR="00E52543" w:rsidRPr="00F10C7B" w:rsidRDefault="00E52543" w:rsidP="003234F5">
            <w:pPr>
              <w:rPr>
                <w:rFonts w:ascii="Calibri" w:hAnsi="Calibri" w:cs="Calibri"/>
              </w:rPr>
            </w:pPr>
            <w:r w:rsidRPr="00F10C7B">
              <w:rPr>
                <w:rFonts w:ascii="Calibri" w:hAnsi="Calibri" w:cs="Calibri"/>
              </w:rPr>
              <w:t>Free School Meals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5284945" w14:textId="77777777" w:rsidR="00E52543" w:rsidRPr="00F10C7B" w:rsidRDefault="00E52543" w:rsidP="003234F5">
            <w:pPr>
              <w:jc w:val="center"/>
              <w:rPr>
                <w:rFonts w:ascii="Calibri" w:hAnsi="Calibri" w:cs="Calibri"/>
              </w:rPr>
            </w:pPr>
            <w:r w:rsidRPr="00F10C7B">
              <w:rPr>
                <w:rFonts w:ascii="Calibri" w:hAnsi="Calibri" w:cs="Calibri"/>
              </w:rPr>
              <w:t>Implemented Jan-15</w:t>
            </w:r>
          </w:p>
        </w:tc>
        <w:tc>
          <w:tcPr>
            <w:tcW w:w="5518" w:type="dxa"/>
            <w:tcBorders>
              <w:top w:val="single" w:sz="6" w:space="0" w:color="000000"/>
              <w:left w:val="single" w:sz="6" w:space="0" w:color="000000"/>
              <w:bottom w:val="single" w:sz="6" w:space="0" w:color="000000"/>
              <w:right w:val="single" w:sz="6" w:space="0" w:color="000000"/>
            </w:tcBorders>
            <w:shd w:val="clear" w:color="auto" w:fill="auto"/>
            <w:hideMark/>
          </w:tcPr>
          <w:p w14:paraId="158FB53C" w14:textId="77777777" w:rsidR="00E52543" w:rsidRPr="00F10C7B" w:rsidRDefault="00E52543" w:rsidP="003234F5">
            <w:pPr>
              <w:rPr>
                <w:rFonts w:ascii="Calibri" w:hAnsi="Calibri" w:cs="Calibri"/>
              </w:rPr>
            </w:pPr>
            <w:r w:rsidRPr="00F10C7B">
              <w:rPr>
                <w:rFonts w:ascii="Calibri" w:hAnsi="Calibri" w:cs="Calibri"/>
              </w:rPr>
              <w:t>Children and Families Directorate, Population Health Directorate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4528781E" w14:textId="77777777" w:rsidR="00E52543" w:rsidRPr="00F10C7B" w:rsidRDefault="00E52543" w:rsidP="003234F5">
            <w:pPr>
              <w:rPr>
                <w:rFonts w:ascii="Calibri" w:hAnsi="Calibri" w:cs="Calibri"/>
              </w:rPr>
            </w:pPr>
            <w:hyperlink r:id="rId77" w:history="1">
              <w:r w:rsidRPr="000419AC">
                <w:rPr>
                  <w:rStyle w:val="Hyperlink"/>
                  <w:rFonts w:ascii="Calibri" w:hAnsi="Calibri" w:cs="Calibri"/>
                </w:rPr>
                <w:t>Link</w:t>
              </w:r>
            </w:hyperlink>
            <w:r w:rsidRPr="00F10C7B">
              <w:rPr>
                <w:rFonts w:ascii="Calibri" w:hAnsi="Calibri" w:cs="Calibri"/>
              </w:rPr>
              <w:t> </w:t>
            </w:r>
          </w:p>
        </w:tc>
      </w:tr>
      <w:tr w:rsidR="00E52543" w:rsidRPr="00F10C7B" w14:paraId="2D89B6D4"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38A2374F" w14:textId="77777777" w:rsidR="00E52543" w:rsidRPr="00F10C7B" w:rsidRDefault="00E52543" w:rsidP="003234F5">
            <w:pPr>
              <w:rPr>
                <w:rFonts w:ascii="Calibri" w:hAnsi="Calibri" w:cs="Calibri"/>
              </w:rPr>
            </w:pPr>
            <w:r>
              <w:rPr>
                <w:rFonts w:ascii="Calibri" w:hAnsi="Calibri" w:cs="Calibri"/>
                <w:b/>
                <w:bCs/>
              </w:rPr>
              <w:t>9</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14:paraId="423096C9" w14:textId="77777777" w:rsidR="00E52543" w:rsidRPr="00F10C7B" w:rsidRDefault="00E52543" w:rsidP="003234F5">
            <w:pPr>
              <w:rPr>
                <w:rFonts w:ascii="Calibri" w:hAnsi="Calibri" w:cs="Calibri"/>
              </w:rPr>
            </w:pPr>
            <w:r w:rsidRPr="00F10C7B">
              <w:rPr>
                <w:rFonts w:ascii="Calibri" w:hAnsi="Calibri" w:cs="Calibri"/>
              </w:rPr>
              <w:t>A healthier future: Scotland's diet and healthy weight delivery plan</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5D1562A0" w14:textId="77777777" w:rsidR="00E52543" w:rsidRPr="00F10C7B" w:rsidRDefault="00E52543" w:rsidP="003234F5">
            <w:pPr>
              <w:jc w:val="center"/>
              <w:rPr>
                <w:rFonts w:ascii="Calibri" w:hAnsi="Calibri" w:cs="Calibri"/>
              </w:rPr>
            </w:pPr>
            <w:r w:rsidRPr="00F10C7B">
              <w:rPr>
                <w:rFonts w:ascii="Calibri" w:hAnsi="Calibri" w:cs="Calibri"/>
              </w:rPr>
              <w:t>Jul-18</w:t>
            </w:r>
          </w:p>
        </w:tc>
        <w:tc>
          <w:tcPr>
            <w:tcW w:w="5518" w:type="dxa"/>
            <w:tcBorders>
              <w:top w:val="single" w:sz="6" w:space="0" w:color="000000"/>
              <w:left w:val="single" w:sz="6" w:space="0" w:color="000000"/>
              <w:bottom w:val="single" w:sz="6" w:space="0" w:color="000000"/>
              <w:right w:val="single" w:sz="6" w:space="0" w:color="000000"/>
            </w:tcBorders>
            <w:shd w:val="clear" w:color="auto" w:fill="auto"/>
            <w:hideMark/>
          </w:tcPr>
          <w:p w14:paraId="18758A84" w14:textId="77777777" w:rsidR="00E52543" w:rsidRPr="00F10C7B" w:rsidRDefault="00E52543" w:rsidP="003234F5">
            <w:pPr>
              <w:rPr>
                <w:rFonts w:ascii="Calibri" w:hAnsi="Calibri" w:cs="Calibri"/>
              </w:rPr>
            </w:pPr>
            <w:r w:rsidRPr="00F10C7B">
              <w:rPr>
                <w:rFonts w:ascii="Calibri" w:hAnsi="Calibri" w:cs="Calibri"/>
              </w:rPr>
              <w:t>Community Health and Social Care Directorate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704F9D20" w14:textId="77777777" w:rsidR="00E52543" w:rsidRDefault="00E52543" w:rsidP="003234F5">
            <w:pPr>
              <w:rPr>
                <w:rFonts w:ascii="Calibri" w:hAnsi="Calibri" w:cs="Calibri"/>
              </w:rPr>
            </w:pPr>
            <w:hyperlink r:id="rId78" w:history="1">
              <w:r w:rsidRPr="000419AC">
                <w:rPr>
                  <w:rStyle w:val="Hyperlink"/>
                  <w:rFonts w:ascii="Calibri" w:hAnsi="Calibri" w:cs="Calibri"/>
                </w:rPr>
                <w:t>Link </w:t>
              </w:r>
            </w:hyperlink>
          </w:p>
          <w:p w14:paraId="394BD727" w14:textId="77777777" w:rsidR="00E52543" w:rsidRPr="00F10C7B" w:rsidRDefault="00E52543" w:rsidP="003234F5">
            <w:pPr>
              <w:rPr>
                <w:rFonts w:ascii="Calibri" w:hAnsi="Calibri" w:cs="Calibri"/>
              </w:rPr>
            </w:pPr>
            <w:r>
              <w:rPr>
                <w:rFonts w:ascii="Calibri" w:hAnsi="Calibri" w:cs="Calibri"/>
              </w:rPr>
              <w:t>Superseded Obesity Route Map (2010)</w:t>
            </w:r>
          </w:p>
        </w:tc>
      </w:tr>
      <w:tr w:rsidR="00E52543" w:rsidRPr="00F10C7B" w14:paraId="5EE57FB8" w14:textId="77777777" w:rsidTr="003234F5">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14:paraId="1737BDAF" w14:textId="77777777" w:rsidR="00E52543" w:rsidRPr="00F10C7B" w:rsidRDefault="00E52543" w:rsidP="003234F5">
            <w:pPr>
              <w:rPr>
                <w:rFonts w:ascii="Calibri" w:hAnsi="Calibri" w:cs="Calibri"/>
              </w:rPr>
            </w:pPr>
            <w:r>
              <w:rPr>
                <w:rFonts w:ascii="Calibri" w:hAnsi="Calibri" w:cs="Calibri"/>
                <w:b/>
                <w:bCs/>
              </w:rPr>
              <w:t>10</w:t>
            </w:r>
          </w:p>
        </w:tc>
        <w:tc>
          <w:tcPr>
            <w:tcW w:w="3260" w:type="dxa"/>
            <w:tcBorders>
              <w:top w:val="single" w:sz="6" w:space="0" w:color="000000"/>
              <w:left w:val="single" w:sz="6" w:space="0" w:color="000000"/>
              <w:bottom w:val="single" w:sz="6" w:space="0" w:color="000000"/>
              <w:right w:val="single" w:sz="6" w:space="0" w:color="000000"/>
            </w:tcBorders>
            <w:shd w:val="clear" w:color="auto" w:fill="auto"/>
            <w:hideMark/>
          </w:tcPr>
          <w:p w14:paraId="50748DCF" w14:textId="77777777" w:rsidR="00E52543" w:rsidRPr="00F10C7B" w:rsidRDefault="00E52543" w:rsidP="003234F5">
            <w:pPr>
              <w:rPr>
                <w:rFonts w:ascii="Calibri" w:hAnsi="Calibri" w:cs="Calibri"/>
              </w:rPr>
            </w:pPr>
            <w:r w:rsidRPr="00F10C7B">
              <w:rPr>
                <w:rFonts w:ascii="Calibri" w:hAnsi="Calibri" w:cs="Calibri"/>
              </w:rPr>
              <w:t>Fair Food Fund, under Poverty and Social Justice Policy (2017)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271109F" w14:textId="77777777" w:rsidR="00E52543" w:rsidRPr="00F10C7B" w:rsidRDefault="00E52543" w:rsidP="003234F5">
            <w:pPr>
              <w:jc w:val="center"/>
              <w:rPr>
                <w:rFonts w:ascii="Calibri" w:hAnsi="Calibri" w:cs="Calibri"/>
              </w:rPr>
            </w:pPr>
            <w:r w:rsidRPr="00F10C7B">
              <w:rPr>
                <w:rFonts w:ascii="Calibri" w:hAnsi="Calibri" w:cs="Calibri"/>
              </w:rPr>
              <w:t>2017</w:t>
            </w:r>
          </w:p>
        </w:tc>
        <w:tc>
          <w:tcPr>
            <w:tcW w:w="5518" w:type="dxa"/>
            <w:tcBorders>
              <w:top w:val="single" w:sz="6" w:space="0" w:color="000000"/>
              <w:left w:val="single" w:sz="6" w:space="0" w:color="000000"/>
              <w:bottom w:val="single" w:sz="6" w:space="0" w:color="000000"/>
              <w:right w:val="single" w:sz="6" w:space="0" w:color="000000"/>
            </w:tcBorders>
            <w:shd w:val="clear" w:color="auto" w:fill="auto"/>
            <w:hideMark/>
          </w:tcPr>
          <w:p w14:paraId="6697761B" w14:textId="77777777" w:rsidR="00E52543" w:rsidRPr="00F10C7B" w:rsidRDefault="00E52543" w:rsidP="003234F5">
            <w:pPr>
              <w:rPr>
                <w:rFonts w:ascii="Calibri" w:hAnsi="Calibri" w:cs="Calibri"/>
              </w:rPr>
            </w:pPr>
            <w:r w:rsidRPr="00F10C7B">
              <w:rPr>
                <w:rFonts w:ascii="Calibri" w:hAnsi="Calibri" w:cs="Calibri"/>
              </w:rPr>
              <w:t>Housing and Social Justice Directorate, Children and Families Directorate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5B9ADB8C" w14:textId="77777777" w:rsidR="00E52543" w:rsidRPr="00F10C7B" w:rsidRDefault="00E52543" w:rsidP="003234F5">
            <w:pPr>
              <w:rPr>
                <w:rFonts w:ascii="Calibri" w:hAnsi="Calibri" w:cs="Calibri"/>
              </w:rPr>
            </w:pPr>
            <w:hyperlink r:id="rId79" w:history="1">
              <w:r w:rsidRPr="000419AC">
                <w:rPr>
                  <w:rStyle w:val="Hyperlink"/>
                  <w:rFonts w:ascii="Calibri" w:hAnsi="Calibri" w:cs="Calibri"/>
                </w:rPr>
                <w:t>Link </w:t>
              </w:r>
            </w:hyperlink>
          </w:p>
        </w:tc>
      </w:tr>
    </w:tbl>
    <w:p w14:paraId="2561AB55" w14:textId="77777777" w:rsidR="00E52543" w:rsidRPr="00374A2C" w:rsidRDefault="00E52543" w:rsidP="00E52543">
      <w:pPr>
        <w:rPr>
          <w:rFonts w:ascii="Calibri" w:hAnsi="Calibri" w:cs="Calibri"/>
        </w:rPr>
      </w:pPr>
    </w:p>
    <w:p w14:paraId="2EF6AE87" w14:textId="77777777" w:rsidR="00E52543" w:rsidRPr="00CE5728" w:rsidRDefault="00E52543" w:rsidP="00E52543">
      <w:pPr>
        <w:jc w:val="center"/>
        <w:rPr>
          <w:rFonts w:ascii="Calibri" w:hAnsi="Calibri" w:cs="Calibri"/>
          <w:b/>
          <w:bCs/>
          <w:u w:val="single"/>
        </w:rPr>
      </w:pPr>
    </w:p>
    <w:p w14:paraId="489231EE" w14:textId="77777777" w:rsidR="00E52543" w:rsidRPr="00CE5728" w:rsidRDefault="00E52543" w:rsidP="00E52543">
      <w:pPr>
        <w:jc w:val="center"/>
        <w:rPr>
          <w:rFonts w:ascii="Calibri" w:hAnsi="Calibri" w:cs="Calibri"/>
          <w:b/>
          <w:bCs/>
          <w:u w:val="single"/>
        </w:rPr>
      </w:pPr>
    </w:p>
    <w:p w14:paraId="2B925CD7" w14:textId="77777777" w:rsidR="00E52543" w:rsidRPr="00CE5728" w:rsidRDefault="00E52543" w:rsidP="00E52543">
      <w:pPr>
        <w:rPr>
          <w:rFonts w:ascii="Calibri" w:hAnsi="Calibri" w:cs="Calibri"/>
          <w:b/>
          <w:bCs/>
          <w:u w:val="single"/>
        </w:rPr>
      </w:pPr>
    </w:p>
    <w:p w14:paraId="094A039A" w14:textId="77777777" w:rsidR="00CE5728" w:rsidRPr="00B70107" w:rsidRDefault="00CE5728" w:rsidP="00CE5728">
      <w:pPr>
        <w:rPr>
          <w:rFonts w:ascii="Calibri" w:hAnsi="Calibri" w:cs="Calibri"/>
          <w:b/>
          <w:bCs/>
          <w:u w:val="single"/>
        </w:rPr>
      </w:pPr>
    </w:p>
    <w:p w14:paraId="71F70989" w14:textId="77777777" w:rsidR="00CE5728" w:rsidRPr="00B70107" w:rsidRDefault="00CE5728" w:rsidP="00CE5728">
      <w:pPr>
        <w:jc w:val="center"/>
        <w:rPr>
          <w:rFonts w:ascii="Calibri" w:hAnsi="Calibri" w:cs="Calibri"/>
          <w:b/>
          <w:bCs/>
          <w:u w:val="single"/>
        </w:rPr>
      </w:pPr>
    </w:p>
    <w:p w14:paraId="188E452A" w14:textId="77777777" w:rsidR="00CE5728" w:rsidRPr="00B70107" w:rsidRDefault="00CE5728" w:rsidP="00CE5728">
      <w:pPr>
        <w:jc w:val="center"/>
        <w:rPr>
          <w:rFonts w:ascii="Calibri" w:hAnsi="Calibri" w:cs="Calibri"/>
          <w:b/>
          <w:bCs/>
          <w:u w:val="single"/>
        </w:rPr>
        <w:sectPr w:rsidR="00CE5728" w:rsidRPr="00B70107" w:rsidSect="00C81262">
          <w:pgSz w:w="16838" w:h="11906" w:orient="landscape"/>
          <w:pgMar w:top="1440" w:right="1440" w:bottom="1440" w:left="1440" w:header="709" w:footer="709" w:gutter="0"/>
          <w:cols w:space="708"/>
          <w:docGrid w:linePitch="360"/>
        </w:sectPr>
      </w:pPr>
    </w:p>
    <w:p w14:paraId="60080300" w14:textId="59131D9B" w:rsidR="00CE5728" w:rsidRPr="00B70107" w:rsidRDefault="00CE5728" w:rsidP="00C7505C">
      <w:pPr>
        <w:rPr>
          <w:rFonts w:ascii="Calibri" w:hAnsi="Calibri" w:cs="Calibri"/>
          <w:b/>
          <w:bCs/>
          <w:u w:val="single"/>
        </w:rPr>
      </w:pPr>
    </w:p>
    <w:p w14:paraId="2E67FB68" w14:textId="4D6399DA" w:rsidR="00CE5728" w:rsidRPr="00B70107" w:rsidRDefault="00CE5728" w:rsidP="00E6706C">
      <w:pPr>
        <w:jc w:val="center"/>
        <w:rPr>
          <w:rFonts w:ascii="Calibri" w:hAnsi="Calibri" w:cs="Calibri"/>
          <w:b/>
          <w:bCs/>
          <w:u w:val="single"/>
        </w:rPr>
      </w:pPr>
    </w:p>
    <w:p w14:paraId="6624878A" w14:textId="0112122C" w:rsidR="00CE5728" w:rsidRPr="00B70107" w:rsidRDefault="00CE5728" w:rsidP="00E6706C">
      <w:pPr>
        <w:jc w:val="center"/>
        <w:rPr>
          <w:rFonts w:ascii="Calibri" w:hAnsi="Calibri" w:cs="Calibri"/>
          <w:b/>
          <w:bCs/>
          <w:u w:val="single"/>
        </w:rPr>
      </w:pPr>
    </w:p>
    <w:p w14:paraId="2270B345" w14:textId="2D4FCA86" w:rsidR="00CE5728" w:rsidRPr="00B70107" w:rsidRDefault="00CE5728" w:rsidP="00E6706C">
      <w:pPr>
        <w:jc w:val="center"/>
        <w:rPr>
          <w:rFonts w:ascii="Calibri" w:hAnsi="Calibri" w:cs="Calibri"/>
          <w:b/>
          <w:bCs/>
          <w:u w:val="single"/>
        </w:rPr>
      </w:pPr>
    </w:p>
    <w:p w14:paraId="589A1463" w14:textId="6919346B" w:rsidR="00CE5728" w:rsidRPr="00B70107" w:rsidRDefault="00CE5728" w:rsidP="00E6706C">
      <w:pPr>
        <w:jc w:val="center"/>
        <w:rPr>
          <w:rFonts w:ascii="Calibri" w:hAnsi="Calibri" w:cs="Calibri"/>
          <w:b/>
          <w:bCs/>
          <w:u w:val="single"/>
        </w:rPr>
      </w:pPr>
    </w:p>
    <w:p w14:paraId="2A0D0E41" w14:textId="06FCEBFE" w:rsidR="00CE5728" w:rsidRPr="00B70107" w:rsidRDefault="00CE5728" w:rsidP="00E6706C">
      <w:pPr>
        <w:jc w:val="center"/>
        <w:rPr>
          <w:rFonts w:ascii="Calibri" w:hAnsi="Calibri" w:cs="Calibri"/>
          <w:b/>
          <w:bCs/>
          <w:u w:val="single"/>
        </w:rPr>
      </w:pPr>
    </w:p>
    <w:p w14:paraId="51E8A9DB" w14:textId="2FF6157D" w:rsidR="00CE5728" w:rsidRPr="00B70107" w:rsidRDefault="00CE5728" w:rsidP="00E6706C">
      <w:pPr>
        <w:jc w:val="center"/>
        <w:rPr>
          <w:rFonts w:ascii="Calibri" w:hAnsi="Calibri" w:cs="Calibri"/>
          <w:b/>
          <w:bCs/>
          <w:u w:val="single"/>
        </w:rPr>
      </w:pPr>
    </w:p>
    <w:p w14:paraId="65C91305" w14:textId="244E5EFA" w:rsidR="00CE5728" w:rsidRPr="00B70107" w:rsidRDefault="00CE5728" w:rsidP="00E6706C">
      <w:pPr>
        <w:jc w:val="center"/>
        <w:rPr>
          <w:rFonts w:ascii="Calibri" w:hAnsi="Calibri" w:cs="Calibri"/>
          <w:b/>
          <w:bCs/>
          <w:u w:val="single"/>
        </w:rPr>
        <w:sectPr w:rsidR="00CE5728" w:rsidRPr="00B70107" w:rsidSect="00C7505C">
          <w:pgSz w:w="16838" w:h="11906" w:orient="landscape"/>
          <w:pgMar w:top="1440" w:right="1440" w:bottom="1440" w:left="1440" w:header="709" w:footer="709" w:gutter="0"/>
          <w:cols w:space="708"/>
          <w:docGrid w:linePitch="360"/>
        </w:sectPr>
      </w:pPr>
    </w:p>
    <w:p w14:paraId="1DEBC02C" w14:textId="0F82DE3D" w:rsidR="00180B47" w:rsidRPr="00B70107" w:rsidRDefault="00180B47" w:rsidP="00137ED2"/>
    <w:sectPr w:rsidR="00180B47" w:rsidRPr="00B70107" w:rsidSect="00C7505C">
      <w:headerReference w:type="default" r:id="rId80"/>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Craig, Leone C" w:date="2021-05-26T15:21:00Z" w:initials="CLC">
    <w:p w14:paraId="290074BB" w14:textId="17D25C21" w:rsidR="00E52543" w:rsidRDefault="00E52543" w:rsidP="00E52543">
      <w:pPr>
        <w:pStyle w:val="CommentText"/>
      </w:pPr>
      <w:r>
        <w:rPr>
          <w:rStyle w:val="CommentReference"/>
        </w:rPr>
        <w:annotationRef/>
      </w:r>
      <w:r>
        <w:t>We have considere</w:t>
      </w:r>
      <w:r>
        <w:t xml:space="preserve">d doubling this </w:t>
      </w:r>
      <w:r>
        <w:t>i.e. there are much less po</w:t>
      </w:r>
      <w:r>
        <w:t>licies/actions focussed on diet and obesity than PA.</w:t>
      </w:r>
      <w:r>
        <w:t xml:space="preserve"> This would potentially shift grade to B-.</w:t>
      </w:r>
      <w:r>
        <w:t>Comments from respondents welcome.</w:t>
      </w:r>
      <w:bookmarkStart w:id="26" w:name="_GoBack"/>
      <w:bookmarkEnd w:id="2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0074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D3AE" w16cex:dateUtc="2021-05-19T17:13:00Z"/>
  <w16cex:commentExtensible w16cex:durableId="2457459B" w16cex:dateUtc="2021-05-25T08:44:00Z"/>
  <w16cex:commentExtensible w16cex:durableId="24574676" w16cex:dateUtc="2021-05-25T08:48:00Z"/>
  <w16cex:commentExtensible w16cex:durableId="244FD5B6" w16cex:dateUtc="2021-05-19T17:21:00Z"/>
  <w16cex:commentExtensible w16cex:durableId="24574DDB" w16cex:dateUtc="2021-05-25T09:20:00Z"/>
  <w16cex:commentExtensible w16cex:durableId="244FDC6F" w16cex:dateUtc="2021-05-19T17:50:00Z"/>
  <w16cex:commentExtensible w16cex:durableId="244FDD31" w16cex:dateUtc="2021-05-19T17:53:00Z"/>
  <w16cex:commentExtensible w16cex:durableId="24574F89" w16cex:dateUtc="2021-05-25T09:27:00Z"/>
  <w16cex:commentExtensible w16cex:durableId="2458BA35" w16cex:dateUtc="2021-05-26T11:14:00Z"/>
  <w16cex:commentExtensible w16cex:durableId="24574FB5" w16cex:dateUtc="2021-05-25T09:28:00Z"/>
  <w16cex:commentExtensible w16cex:durableId="244FDBB5" w16cex:dateUtc="2021-05-19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6F7D2B" w16cid:durableId="244FD3AE"/>
  <w16cid:commentId w16cid:paraId="1D39AC77" w16cid:durableId="244E942E"/>
  <w16cid:commentId w16cid:paraId="68306049" w16cid:durableId="2457459B"/>
  <w16cid:commentId w16cid:paraId="09355808" w16cid:durableId="244E942F"/>
  <w16cid:commentId w16cid:paraId="263DE154" w16cid:durableId="24574676"/>
  <w16cid:commentId w16cid:paraId="415E5D86" w16cid:durableId="244FD5B6"/>
  <w16cid:commentId w16cid:paraId="41F63341" w16cid:durableId="24574DDB"/>
  <w16cid:commentId w16cid:paraId="6CDA555B" w16cid:durableId="244FDC6F"/>
  <w16cid:commentId w16cid:paraId="5D2DD7AB" w16cid:durableId="244FDD31"/>
  <w16cid:commentId w16cid:paraId="4743DE17" w16cid:durableId="24574F89"/>
  <w16cid:commentId w16cid:paraId="4E9882FF" w16cid:durableId="2458BA35"/>
  <w16cid:commentId w16cid:paraId="3BF38628" w16cid:durableId="24574FB5"/>
  <w16cid:commentId w16cid:paraId="10603181" w16cid:durableId="244FD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B0850" w14:textId="77777777" w:rsidR="00F1041F" w:rsidRDefault="00F1041F" w:rsidP="00B91ED0">
      <w:pPr>
        <w:spacing w:after="0" w:line="240" w:lineRule="auto"/>
      </w:pPr>
      <w:r>
        <w:separator/>
      </w:r>
    </w:p>
  </w:endnote>
  <w:endnote w:type="continuationSeparator" w:id="0">
    <w:p w14:paraId="06B7BB15" w14:textId="77777777" w:rsidR="00F1041F" w:rsidRDefault="00F1041F" w:rsidP="00B9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T27o00">
    <w:panose1 w:val="00000000000000000000"/>
    <w:charset w:val="00"/>
    <w:family w:val="auto"/>
    <w:notTrueType/>
    <w:pitch w:val="default"/>
    <w:sig w:usb0="00000003" w:usb1="00000000" w:usb2="00000000" w:usb3="00000000" w:csb0="00000001" w:csb1="00000000"/>
  </w:font>
  <w:font w:name="HelveticaNeueLTStd-Cn">
    <w:altName w:val="MS Gothic"/>
    <w:panose1 w:val="00000000000000000000"/>
    <w:charset w:val="80"/>
    <w:family w:val="swiss"/>
    <w:notTrueType/>
    <w:pitch w:val="default"/>
    <w:sig w:usb0="00000001" w:usb1="08070000" w:usb2="00000010" w:usb3="00000000" w:csb0="00020000" w:csb1="00000000"/>
  </w:font>
  <w:font w:name="ArialMT">
    <w:altName w:val="MS Gothic"/>
    <w:charset w:val="00"/>
    <w:family w:val="auto"/>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BAE5" w14:textId="77777777" w:rsidR="00F1041F" w:rsidRDefault="00F1041F" w:rsidP="00B91ED0">
      <w:pPr>
        <w:spacing w:after="0" w:line="240" w:lineRule="auto"/>
      </w:pPr>
      <w:r>
        <w:separator/>
      </w:r>
    </w:p>
  </w:footnote>
  <w:footnote w:type="continuationSeparator" w:id="0">
    <w:p w14:paraId="68CA8634" w14:textId="77777777" w:rsidR="00F1041F" w:rsidRDefault="00F1041F" w:rsidP="00B9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617834"/>
      <w:docPartObj>
        <w:docPartGallery w:val="Page Numbers (Top of Page)"/>
        <w:docPartUnique/>
      </w:docPartObj>
    </w:sdtPr>
    <w:sdtEndPr>
      <w:rPr>
        <w:noProof/>
      </w:rPr>
    </w:sdtEndPr>
    <w:sdtContent>
      <w:p w14:paraId="26ECF796" w14:textId="27B3E467" w:rsidR="008106F8" w:rsidRDefault="008106F8">
        <w:pPr>
          <w:pStyle w:val="Header"/>
          <w:jc w:val="right"/>
        </w:pPr>
        <w:r>
          <w:fldChar w:fldCharType="begin"/>
        </w:r>
        <w:r>
          <w:instrText xml:space="preserve"> PAGE   \* MERGEFORMAT </w:instrText>
        </w:r>
        <w:r>
          <w:fldChar w:fldCharType="separate"/>
        </w:r>
        <w:r w:rsidR="00F1041F">
          <w:rPr>
            <w:noProof/>
          </w:rPr>
          <w:t>1</w:t>
        </w:r>
        <w:r>
          <w:rPr>
            <w:noProof/>
          </w:rPr>
          <w:fldChar w:fldCharType="end"/>
        </w:r>
      </w:p>
    </w:sdtContent>
  </w:sdt>
  <w:p w14:paraId="04F08CE1" w14:textId="77777777" w:rsidR="008106F8" w:rsidRDefault="00810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529827"/>
      <w:docPartObj>
        <w:docPartGallery w:val="Page Numbers (Top of Page)"/>
        <w:docPartUnique/>
      </w:docPartObj>
    </w:sdtPr>
    <w:sdtEndPr>
      <w:rPr>
        <w:noProof/>
      </w:rPr>
    </w:sdtEndPr>
    <w:sdtContent>
      <w:p w14:paraId="63430207" w14:textId="26AEE5F9" w:rsidR="008106F8" w:rsidRDefault="008106F8">
        <w:pPr>
          <w:pStyle w:val="Header"/>
          <w:jc w:val="right"/>
        </w:pPr>
        <w:r>
          <w:fldChar w:fldCharType="begin"/>
        </w:r>
        <w:r>
          <w:instrText xml:space="preserve"> PAGE   \* MERGEFORMAT </w:instrText>
        </w:r>
        <w:r>
          <w:fldChar w:fldCharType="separate"/>
        </w:r>
        <w:r w:rsidR="00E52543">
          <w:rPr>
            <w:noProof/>
          </w:rPr>
          <w:t>57</w:t>
        </w:r>
        <w:r>
          <w:rPr>
            <w:noProof/>
          </w:rPr>
          <w:fldChar w:fldCharType="end"/>
        </w:r>
      </w:p>
    </w:sdtContent>
  </w:sdt>
  <w:p w14:paraId="1CB1AE3F" w14:textId="77777777" w:rsidR="008106F8" w:rsidRDefault="00810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0F1"/>
    <w:multiLevelType w:val="hybridMultilevel"/>
    <w:tmpl w:val="ECC2635A"/>
    <w:lvl w:ilvl="0" w:tplc="D3EC9F1E">
      <w:start w:val="1"/>
      <w:numFmt w:val="decimal"/>
      <w:lvlText w:val="%1)"/>
      <w:lvlJc w:val="left"/>
      <w:pPr>
        <w:ind w:left="360" w:hanging="360"/>
      </w:pPr>
      <w:rPr>
        <w:rFonts w:asciiTheme="minorHAnsi" w:hAnsiTheme="minorHAnsi" w:cstheme="minorHAnsi" w:hint="default"/>
        <w:b/>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36387B"/>
    <w:multiLevelType w:val="hybridMultilevel"/>
    <w:tmpl w:val="CE82F0D2"/>
    <w:lvl w:ilvl="0" w:tplc="6F767738">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B5157F"/>
    <w:multiLevelType w:val="hybridMultilevel"/>
    <w:tmpl w:val="806AE81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128B2"/>
    <w:multiLevelType w:val="multilevel"/>
    <w:tmpl w:val="D5CA3F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E027EC"/>
    <w:multiLevelType w:val="hybridMultilevel"/>
    <w:tmpl w:val="92E4A742"/>
    <w:lvl w:ilvl="0" w:tplc="D7FC9688">
      <w:start w:val="1"/>
      <w:numFmt w:val="bullet"/>
      <w:lvlText w:val=""/>
      <w:lvlJc w:val="left"/>
      <w:pPr>
        <w:tabs>
          <w:tab w:val="num" w:pos="720"/>
        </w:tabs>
        <w:ind w:left="720" w:hanging="360"/>
      </w:pPr>
      <w:rPr>
        <w:rFonts w:ascii="Symbol" w:hAnsi="Symbol" w:hint="default"/>
        <w:sz w:val="20"/>
      </w:rPr>
    </w:lvl>
    <w:lvl w:ilvl="1" w:tplc="4E4A05DE" w:tentative="1">
      <w:start w:val="1"/>
      <w:numFmt w:val="bullet"/>
      <w:lvlText w:val="o"/>
      <w:lvlJc w:val="left"/>
      <w:pPr>
        <w:tabs>
          <w:tab w:val="num" w:pos="1440"/>
        </w:tabs>
        <w:ind w:left="1440" w:hanging="360"/>
      </w:pPr>
      <w:rPr>
        <w:rFonts w:ascii="Courier New" w:hAnsi="Courier New" w:hint="default"/>
        <w:sz w:val="20"/>
      </w:rPr>
    </w:lvl>
    <w:lvl w:ilvl="2" w:tplc="66F0979C" w:tentative="1">
      <w:start w:val="1"/>
      <w:numFmt w:val="bullet"/>
      <w:lvlText w:val=""/>
      <w:lvlJc w:val="left"/>
      <w:pPr>
        <w:tabs>
          <w:tab w:val="num" w:pos="2160"/>
        </w:tabs>
        <w:ind w:left="2160" w:hanging="360"/>
      </w:pPr>
      <w:rPr>
        <w:rFonts w:ascii="Wingdings" w:hAnsi="Wingdings" w:hint="default"/>
        <w:sz w:val="20"/>
      </w:rPr>
    </w:lvl>
    <w:lvl w:ilvl="3" w:tplc="D736C57A" w:tentative="1">
      <w:start w:val="1"/>
      <w:numFmt w:val="bullet"/>
      <w:lvlText w:val=""/>
      <w:lvlJc w:val="left"/>
      <w:pPr>
        <w:tabs>
          <w:tab w:val="num" w:pos="2880"/>
        </w:tabs>
        <w:ind w:left="2880" w:hanging="360"/>
      </w:pPr>
      <w:rPr>
        <w:rFonts w:ascii="Wingdings" w:hAnsi="Wingdings" w:hint="default"/>
        <w:sz w:val="20"/>
      </w:rPr>
    </w:lvl>
    <w:lvl w:ilvl="4" w:tplc="4EF0DEB8" w:tentative="1">
      <w:start w:val="1"/>
      <w:numFmt w:val="bullet"/>
      <w:lvlText w:val=""/>
      <w:lvlJc w:val="left"/>
      <w:pPr>
        <w:tabs>
          <w:tab w:val="num" w:pos="3600"/>
        </w:tabs>
        <w:ind w:left="3600" w:hanging="360"/>
      </w:pPr>
      <w:rPr>
        <w:rFonts w:ascii="Wingdings" w:hAnsi="Wingdings" w:hint="default"/>
        <w:sz w:val="20"/>
      </w:rPr>
    </w:lvl>
    <w:lvl w:ilvl="5" w:tplc="DF429ABE" w:tentative="1">
      <w:start w:val="1"/>
      <w:numFmt w:val="bullet"/>
      <w:lvlText w:val=""/>
      <w:lvlJc w:val="left"/>
      <w:pPr>
        <w:tabs>
          <w:tab w:val="num" w:pos="4320"/>
        </w:tabs>
        <w:ind w:left="4320" w:hanging="360"/>
      </w:pPr>
      <w:rPr>
        <w:rFonts w:ascii="Wingdings" w:hAnsi="Wingdings" w:hint="default"/>
        <w:sz w:val="20"/>
      </w:rPr>
    </w:lvl>
    <w:lvl w:ilvl="6" w:tplc="E4726978" w:tentative="1">
      <w:start w:val="1"/>
      <w:numFmt w:val="bullet"/>
      <w:lvlText w:val=""/>
      <w:lvlJc w:val="left"/>
      <w:pPr>
        <w:tabs>
          <w:tab w:val="num" w:pos="5040"/>
        </w:tabs>
        <w:ind w:left="5040" w:hanging="360"/>
      </w:pPr>
      <w:rPr>
        <w:rFonts w:ascii="Wingdings" w:hAnsi="Wingdings" w:hint="default"/>
        <w:sz w:val="20"/>
      </w:rPr>
    </w:lvl>
    <w:lvl w:ilvl="7" w:tplc="A70E531A" w:tentative="1">
      <w:start w:val="1"/>
      <w:numFmt w:val="bullet"/>
      <w:lvlText w:val=""/>
      <w:lvlJc w:val="left"/>
      <w:pPr>
        <w:tabs>
          <w:tab w:val="num" w:pos="5760"/>
        </w:tabs>
        <w:ind w:left="5760" w:hanging="360"/>
      </w:pPr>
      <w:rPr>
        <w:rFonts w:ascii="Wingdings" w:hAnsi="Wingdings" w:hint="default"/>
        <w:sz w:val="20"/>
      </w:rPr>
    </w:lvl>
    <w:lvl w:ilvl="8" w:tplc="6ACEF91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40FE6"/>
    <w:multiLevelType w:val="hybridMultilevel"/>
    <w:tmpl w:val="66ECE0BA"/>
    <w:lvl w:ilvl="0" w:tplc="FE00032E">
      <w:start w:val="1"/>
      <w:numFmt w:val="decimal"/>
      <w:lvlText w:val="%1."/>
      <w:lvlJc w:val="left"/>
      <w:pPr>
        <w:ind w:left="360" w:hanging="360"/>
      </w:pPr>
      <w:rPr>
        <w:rFonts w:ascii="Verdana" w:eastAsia="Calibri" w:hAnsi="Verdan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221E8F"/>
    <w:multiLevelType w:val="hybridMultilevel"/>
    <w:tmpl w:val="ADF636E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46DDE"/>
    <w:multiLevelType w:val="hybridMultilevel"/>
    <w:tmpl w:val="892850AE"/>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2038D"/>
    <w:multiLevelType w:val="hybridMultilevel"/>
    <w:tmpl w:val="E6EC8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E128B"/>
    <w:multiLevelType w:val="hybridMultilevel"/>
    <w:tmpl w:val="6594374E"/>
    <w:lvl w:ilvl="0" w:tplc="6FB86050">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F24F4"/>
    <w:multiLevelType w:val="hybridMultilevel"/>
    <w:tmpl w:val="B8842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4B7CAA"/>
    <w:multiLevelType w:val="hybridMultilevel"/>
    <w:tmpl w:val="0D8CFF06"/>
    <w:lvl w:ilvl="0" w:tplc="6660D5FE">
      <w:start w:val="4"/>
      <w:numFmt w:val="lowerLetter"/>
      <w:lvlText w:val="%1)"/>
      <w:lvlJc w:val="left"/>
      <w:pPr>
        <w:ind w:left="360" w:hanging="360"/>
      </w:pPr>
      <w:rPr>
        <w:rFonts w:cstheme="minorHAns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6C0AA4"/>
    <w:multiLevelType w:val="multilevel"/>
    <w:tmpl w:val="D990E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4CA2BB3"/>
    <w:multiLevelType w:val="hybridMultilevel"/>
    <w:tmpl w:val="7EB0AA64"/>
    <w:lvl w:ilvl="0" w:tplc="16065356">
      <w:start w:val="1"/>
      <w:numFmt w:val="bullet"/>
      <w:lvlText w:val=""/>
      <w:lvlJc w:val="left"/>
      <w:pPr>
        <w:tabs>
          <w:tab w:val="num" w:pos="720"/>
        </w:tabs>
        <w:ind w:left="720" w:hanging="360"/>
      </w:pPr>
      <w:rPr>
        <w:rFonts w:ascii="Symbol" w:hAnsi="Symbol" w:hint="default"/>
        <w:sz w:val="20"/>
      </w:rPr>
    </w:lvl>
    <w:lvl w:ilvl="1" w:tplc="7CFA09DC" w:tentative="1">
      <w:start w:val="1"/>
      <w:numFmt w:val="bullet"/>
      <w:lvlText w:val="o"/>
      <w:lvlJc w:val="left"/>
      <w:pPr>
        <w:tabs>
          <w:tab w:val="num" w:pos="1440"/>
        </w:tabs>
        <w:ind w:left="1440" w:hanging="360"/>
      </w:pPr>
      <w:rPr>
        <w:rFonts w:ascii="Courier New" w:hAnsi="Courier New" w:hint="default"/>
        <w:sz w:val="20"/>
      </w:rPr>
    </w:lvl>
    <w:lvl w:ilvl="2" w:tplc="AA0E891E" w:tentative="1">
      <w:start w:val="1"/>
      <w:numFmt w:val="bullet"/>
      <w:lvlText w:val=""/>
      <w:lvlJc w:val="left"/>
      <w:pPr>
        <w:tabs>
          <w:tab w:val="num" w:pos="2160"/>
        </w:tabs>
        <w:ind w:left="2160" w:hanging="360"/>
      </w:pPr>
      <w:rPr>
        <w:rFonts w:ascii="Wingdings" w:hAnsi="Wingdings" w:hint="default"/>
        <w:sz w:val="20"/>
      </w:rPr>
    </w:lvl>
    <w:lvl w:ilvl="3" w:tplc="D09A3314" w:tentative="1">
      <w:start w:val="1"/>
      <w:numFmt w:val="bullet"/>
      <w:lvlText w:val=""/>
      <w:lvlJc w:val="left"/>
      <w:pPr>
        <w:tabs>
          <w:tab w:val="num" w:pos="2880"/>
        </w:tabs>
        <w:ind w:left="2880" w:hanging="360"/>
      </w:pPr>
      <w:rPr>
        <w:rFonts w:ascii="Wingdings" w:hAnsi="Wingdings" w:hint="default"/>
        <w:sz w:val="20"/>
      </w:rPr>
    </w:lvl>
    <w:lvl w:ilvl="4" w:tplc="FBCC7CF2" w:tentative="1">
      <w:start w:val="1"/>
      <w:numFmt w:val="bullet"/>
      <w:lvlText w:val=""/>
      <w:lvlJc w:val="left"/>
      <w:pPr>
        <w:tabs>
          <w:tab w:val="num" w:pos="3600"/>
        </w:tabs>
        <w:ind w:left="3600" w:hanging="360"/>
      </w:pPr>
      <w:rPr>
        <w:rFonts w:ascii="Wingdings" w:hAnsi="Wingdings" w:hint="default"/>
        <w:sz w:val="20"/>
      </w:rPr>
    </w:lvl>
    <w:lvl w:ilvl="5" w:tplc="C90435D6" w:tentative="1">
      <w:start w:val="1"/>
      <w:numFmt w:val="bullet"/>
      <w:lvlText w:val=""/>
      <w:lvlJc w:val="left"/>
      <w:pPr>
        <w:tabs>
          <w:tab w:val="num" w:pos="4320"/>
        </w:tabs>
        <w:ind w:left="4320" w:hanging="360"/>
      </w:pPr>
      <w:rPr>
        <w:rFonts w:ascii="Wingdings" w:hAnsi="Wingdings" w:hint="default"/>
        <w:sz w:val="20"/>
      </w:rPr>
    </w:lvl>
    <w:lvl w:ilvl="6" w:tplc="B2284F00" w:tentative="1">
      <w:start w:val="1"/>
      <w:numFmt w:val="bullet"/>
      <w:lvlText w:val=""/>
      <w:lvlJc w:val="left"/>
      <w:pPr>
        <w:tabs>
          <w:tab w:val="num" w:pos="5040"/>
        </w:tabs>
        <w:ind w:left="5040" w:hanging="360"/>
      </w:pPr>
      <w:rPr>
        <w:rFonts w:ascii="Wingdings" w:hAnsi="Wingdings" w:hint="default"/>
        <w:sz w:val="20"/>
      </w:rPr>
    </w:lvl>
    <w:lvl w:ilvl="7" w:tplc="377E37FC" w:tentative="1">
      <w:start w:val="1"/>
      <w:numFmt w:val="bullet"/>
      <w:lvlText w:val=""/>
      <w:lvlJc w:val="left"/>
      <w:pPr>
        <w:tabs>
          <w:tab w:val="num" w:pos="5760"/>
        </w:tabs>
        <w:ind w:left="5760" w:hanging="360"/>
      </w:pPr>
      <w:rPr>
        <w:rFonts w:ascii="Wingdings" w:hAnsi="Wingdings" w:hint="default"/>
        <w:sz w:val="20"/>
      </w:rPr>
    </w:lvl>
    <w:lvl w:ilvl="8" w:tplc="390035B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D6D6F"/>
    <w:multiLevelType w:val="hybridMultilevel"/>
    <w:tmpl w:val="2912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B3420"/>
    <w:multiLevelType w:val="hybridMultilevel"/>
    <w:tmpl w:val="10A4B4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4"/>
  </w:num>
  <w:num w:numId="3">
    <w:abstractNumId w:val="10"/>
  </w:num>
  <w:num w:numId="4">
    <w:abstractNumId w:val="15"/>
  </w:num>
  <w:num w:numId="5">
    <w:abstractNumId w:val="1"/>
  </w:num>
  <w:num w:numId="6">
    <w:abstractNumId w:val="0"/>
  </w:num>
  <w:num w:numId="7">
    <w:abstractNumId w:val="9"/>
  </w:num>
  <w:num w:numId="8">
    <w:abstractNumId w:val="13"/>
  </w:num>
  <w:num w:numId="9">
    <w:abstractNumId w:val="4"/>
  </w:num>
  <w:num w:numId="10">
    <w:abstractNumId w:val="11"/>
  </w:num>
  <w:num w:numId="11">
    <w:abstractNumId w:val="6"/>
  </w:num>
  <w:num w:numId="12">
    <w:abstractNumId w:val="7"/>
  </w:num>
  <w:num w:numId="13">
    <w:abstractNumId w:val="2"/>
  </w:num>
  <w:num w:numId="14">
    <w:abstractNumId w:val="5"/>
  </w:num>
  <w:num w:numId="15">
    <w:abstractNumId w:val="12"/>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ig, Leone C">
    <w15:presenceInfo w15:providerId="AD" w15:userId="S::oem178@abdn.ac.uk::0b1736f2-0daa-414c-903c-57e4439180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E4"/>
    <w:rsid w:val="0000718F"/>
    <w:rsid w:val="000263E9"/>
    <w:rsid w:val="00050EB7"/>
    <w:rsid w:val="0006655C"/>
    <w:rsid w:val="00075D9E"/>
    <w:rsid w:val="0007796D"/>
    <w:rsid w:val="000A4876"/>
    <w:rsid w:val="000A4E83"/>
    <w:rsid w:val="000D14FE"/>
    <w:rsid w:val="000D7572"/>
    <w:rsid w:val="000F66ED"/>
    <w:rsid w:val="001043C6"/>
    <w:rsid w:val="00104E56"/>
    <w:rsid w:val="00105DD8"/>
    <w:rsid w:val="00137CBE"/>
    <w:rsid w:val="00137ED2"/>
    <w:rsid w:val="001659E5"/>
    <w:rsid w:val="001677A3"/>
    <w:rsid w:val="001775A4"/>
    <w:rsid w:val="00180B47"/>
    <w:rsid w:val="00182B14"/>
    <w:rsid w:val="001937E7"/>
    <w:rsid w:val="001A01DC"/>
    <w:rsid w:val="001A4110"/>
    <w:rsid w:val="001B6C86"/>
    <w:rsid w:val="001C08BD"/>
    <w:rsid w:val="001C67A9"/>
    <w:rsid w:val="001C6C6E"/>
    <w:rsid w:val="001C7882"/>
    <w:rsid w:val="001D6122"/>
    <w:rsid w:val="001F1F3C"/>
    <w:rsid w:val="001F75B9"/>
    <w:rsid w:val="002007CA"/>
    <w:rsid w:val="00211EDF"/>
    <w:rsid w:val="002128E2"/>
    <w:rsid w:val="00231FBB"/>
    <w:rsid w:val="002835A9"/>
    <w:rsid w:val="002A7CB5"/>
    <w:rsid w:val="002F2312"/>
    <w:rsid w:val="0030002E"/>
    <w:rsid w:val="003024C9"/>
    <w:rsid w:val="0031203B"/>
    <w:rsid w:val="003341CD"/>
    <w:rsid w:val="0034064E"/>
    <w:rsid w:val="00354051"/>
    <w:rsid w:val="0038102E"/>
    <w:rsid w:val="003831EA"/>
    <w:rsid w:val="0038537A"/>
    <w:rsid w:val="003A5BDC"/>
    <w:rsid w:val="003C43E3"/>
    <w:rsid w:val="003D1233"/>
    <w:rsid w:val="003F390C"/>
    <w:rsid w:val="004115C4"/>
    <w:rsid w:val="00422EE4"/>
    <w:rsid w:val="004263B7"/>
    <w:rsid w:val="00436E1A"/>
    <w:rsid w:val="00467F68"/>
    <w:rsid w:val="00472A36"/>
    <w:rsid w:val="00473EAF"/>
    <w:rsid w:val="004A1925"/>
    <w:rsid w:val="004A3966"/>
    <w:rsid w:val="004B33C5"/>
    <w:rsid w:val="004D1AF8"/>
    <w:rsid w:val="004E6FE1"/>
    <w:rsid w:val="004F17E1"/>
    <w:rsid w:val="005002E8"/>
    <w:rsid w:val="00506860"/>
    <w:rsid w:val="00510731"/>
    <w:rsid w:val="0052328C"/>
    <w:rsid w:val="00534DFC"/>
    <w:rsid w:val="00541643"/>
    <w:rsid w:val="00542A6A"/>
    <w:rsid w:val="005A261C"/>
    <w:rsid w:val="005A7F33"/>
    <w:rsid w:val="005C4FE6"/>
    <w:rsid w:val="005F33EF"/>
    <w:rsid w:val="00623DCF"/>
    <w:rsid w:val="00646422"/>
    <w:rsid w:val="00656C8F"/>
    <w:rsid w:val="00660D77"/>
    <w:rsid w:val="00673464"/>
    <w:rsid w:val="006734D4"/>
    <w:rsid w:val="00695531"/>
    <w:rsid w:val="006A3617"/>
    <w:rsid w:val="006B28C4"/>
    <w:rsid w:val="006C1D46"/>
    <w:rsid w:val="006D313A"/>
    <w:rsid w:val="006D71D3"/>
    <w:rsid w:val="006F3E47"/>
    <w:rsid w:val="00704ED0"/>
    <w:rsid w:val="00706A72"/>
    <w:rsid w:val="00726DBA"/>
    <w:rsid w:val="00740EE3"/>
    <w:rsid w:val="00762B87"/>
    <w:rsid w:val="00770DF4"/>
    <w:rsid w:val="00790A55"/>
    <w:rsid w:val="007B10F8"/>
    <w:rsid w:val="007B4D75"/>
    <w:rsid w:val="007C67EA"/>
    <w:rsid w:val="007D7439"/>
    <w:rsid w:val="007F29E2"/>
    <w:rsid w:val="00805954"/>
    <w:rsid w:val="008106F8"/>
    <w:rsid w:val="008477B8"/>
    <w:rsid w:val="008536B7"/>
    <w:rsid w:val="00867A1F"/>
    <w:rsid w:val="00872496"/>
    <w:rsid w:val="008817AD"/>
    <w:rsid w:val="00885A23"/>
    <w:rsid w:val="00885ECB"/>
    <w:rsid w:val="008A2E85"/>
    <w:rsid w:val="008A4029"/>
    <w:rsid w:val="008A7963"/>
    <w:rsid w:val="008B29C8"/>
    <w:rsid w:val="008B71DD"/>
    <w:rsid w:val="008D66E0"/>
    <w:rsid w:val="0090264A"/>
    <w:rsid w:val="009072B1"/>
    <w:rsid w:val="009073D1"/>
    <w:rsid w:val="00914894"/>
    <w:rsid w:val="00927DB3"/>
    <w:rsid w:val="00972EFD"/>
    <w:rsid w:val="00973686"/>
    <w:rsid w:val="00980368"/>
    <w:rsid w:val="009A4F99"/>
    <w:rsid w:val="009A6480"/>
    <w:rsid w:val="009B1AE2"/>
    <w:rsid w:val="009C70A2"/>
    <w:rsid w:val="009D00B6"/>
    <w:rsid w:val="009D6157"/>
    <w:rsid w:val="00A011F7"/>
    <w:rsid w:val="00A16D87"/>
    <w:rsid w:val="00A35138"/>
    <w:rsid w:val="00A3ABD1"/>
    <w:rsid w:val="00A43BBA"/>
    <w:rsid w:val="00A51892"/>
    <w:rsid w:val="00A63896"/>
    <w:rsid w:val="00A92E51"/>
    <w:rsid w:val="00A959C8"/>
    <w:rsid w:val="00A9610D"/>
    <w:rsid w:val="00AB1C5C"/>
    <w:rsid w:val="00AB2776"/>
    <w:rsid w:val="00AB6F7C"/>
    <w:rsid w:val="00AB7BF1"/>
    <w:rsid w:val="00AC1512"/>
    <w:rsid w:val="00B0113B"/>
    <w:rsid w:val="00B268E2"/>
    <w:rsid w:val="00B32AFD"/>
    <w:rsid w:val="00B36BF6"/>
    <w:rsid w:val="00B379A5"/>
    <w:rsid w:val="00B43480"/>
    <w:rsid w:val="00B45E02"/>
    <w:rsid w:val="00B46912"/>
    <w:rsid w:val="00B47270"/>
    <w:rsid w:val="00B62C8F"/>
    <w:rsid w:val="00B70107"/>
    <w:rsid w:val="00B73B01"/>
    <w:rsid w:val="00B85171"/>
    <w:rsid w:val="00B91ED0"/>
    <w:rsid w:val="00B920EB"/>
    <w:rsid w:val="00B957C8"/>
    <w:rsid w:val="00BA3B55"/>
    <w:rsid w:val="00BC6773"/>
    <w:rsid w:val="00BD0171"/>
    <w:rsid w:val="00BD2BA8"/>
    <w:rsid w:val="00BD520F"/>
    <w:rsid w:val="00BD59AE"/>
    <w:rsid w:val="00BF04C6"/>
    <w:rsid w:val="00C10F6E"/>
    <w:rsid w:val="00C12106"/>
    <w:rsid w:val="00C14926"/>
    <w:rsid w:val="00C2164E"/>
    <w:rsid w:val="00C24611"/>
    <w:rsid w:val="00C26615"/>
    <w:rsid w:val="00C32387"/>
    <w:rsid w:val="00C431A6"/>
    <w:rsid w:val="00C43DBE"/>
    <w:rsid w:val="00C7505C"/>
    <w:rsid w:val="00C8020C"/>
    <w:rsid w:val="00C81262"/>
    <w:rsid w:val="00C84BFC"/>
    <w:rsid w:val="00C872B2"/>
    <w:rsid w:val="00C90D9C"/>
    <w:rsid w:val="00CA743F"/>
    <w:rsid w:val="00CB298C"/>
    <w:rsid w:val="00CB7B0F"/>
    <w:rsid w:val="00CD13A9"/>
    <w:rsid w:val="00CD2C50"/>
    <w:rsid w:val="00CE5728"/>
    <w:rsid w:val="00CF1BEB"/>
    <w:rsid w:val="00D011F2"/>
    <w:rsid w:val="00D11496"/>
    <w:rsid w:val="00D35F07"/>
    <w:rsid w:val="00D41D95"/>
    <w:rsid w:val="00D6089E"/>
    <w:rsid w:val="00D651EA"/>
    <w:rsid w:val="00D861BF"/>
    <w:rsid w:val="00D97D23"/>
    <w:rsid w:val="00DC519F"/>
    <w:rsid w:val="00DE67AB"/>
    <w:rsid w:val="00DE760E"/>
    <w:rsid w:val="00DE7F0A"/>
    <w:rsid w:val="00E00E7F"/>
    <w:rsid w:val="00E106A4"/>
    <w:rsid w:val="00E2752E"/>
    <w:rsid w:val="00E44B12"/>
    <w:rsid w:val="00E52543"/>
    <w:rsid w:val="00E6706C"/>
    <w:rsid w:val="00E85702"/>
    <w:rsid w:val="00E92CE6"/>
    <w:rsid w:val="00EA3EDA"/>
    <w:rsid w:val="00EA6C7D"/>
    <w:rsid w:val="00EB4260"/>
    <w:rsid w:val="00EF1C03"/>
    <w:rsid w:val="00EF5215"/>
    <w:rsid w:val="00EF6999"/>
    <w:rsid w:val="00F1041F"/>
    <w:rsid w:val="00F13355"/>
    <w:rsid w:val="00F236A9"/>
    <w:rsid w:val="00F24A90"/>
    <w:rsid w:val="00F26071"/>
    <w:rsid w:val="00F33B37"/>
    <w:rsid w:val="00F40F4D"/>
    <w:rsid w:val="00F43FA0"/>
    <w:rsid w:val="00F52461"/>
    <w:rsid w:val="00F5306B"/>
    <w:rsid w:val="00F7712B"/>
    <w:rsid w:val="00FA6746"/>
    <w:rsid w:val="00FF54F7"/>
    <w:rsid w:val="01D18D99"/>
    <w:rsid w:val="01F76046"/>
    <w:rsid w:val="02FEC71D"/>
    <w:rsid w:val="034F5778"/>
    <w:rsid w:val="03FEE34D"/>
    <w:rsid w:val="050411F2"/>
    <w:rsid w:val="052A7B32"/>
    <w:rsid w:val="05772E56"/>
    <w:rsid w:val="05B3F487"/>
    <w:rsid w:val="0689EE5D"/>
    <w:rsid w:val="06A78032"/>
    <w:rsid w:val="084BFEA5"/>
    <w:rsid w:val="0886DC09"/>
    <w:rsid w:val="093361E9"/>
    <w:rsid w:val="09662C43"/>
    <w:rsid w:val="0B16631A"/>
    <w:rsid w:val="0B776F49"/>
    <w:rsid w:val="0BAF57EB"/>
    <w:rsid w:val="0BC65E0E"/>
    <w:rsid w:val="0BCC6EFE"/>
    <w:rsid w:val="0BDC97D1"/>
    <w:rsid w:val="0C338A0D"/>
    <w:rsid w:val="0CB973A1"/>
    <w:rsid w:val="0D63ABD8"/>
    <w:rsid w:val="0EFAFCDE"/>
    <w:rsid w:val="0FFADBB1"/>
    <w:rsid w:val="10C79D19"/>
    <w:rsid w:val="10E20E05"/>
    <w:rsid w:val="1173BC67"/>
    <w:rsid w:val="11B0FCD4"/>
    <w:rsid w:val="12B12C0F"/>
    <w:rsid w:val="12C23A47"/>
    <w:rsid w:val="130F8CC8"/>
    <w:rsid w:val="1328B525"/>
    <w:rsid w:val="134A8135"/>
    <w:rsid w:val="13752AB3"/>
    <w:rsid w:val="13B05EBB"/>
    <w:rsid w:val="13B545A4"/>
    <w:rsid w:val="1436B3E5"/>
    <w:rsid w:val="144D06D9"/>
    <w:rsid w:val="14AB5D29"/>
    <w:rsid w:val="157AB660"/>
    <w:rsid w:val="15A468EA"/>
    <w:rsid w:val="16AF9272"/>
    <w:rsid w:val="1824EA0C"/>
    <w:rsid w:val="1851CAE8"/>
    <w:rsid w:val="1888B6C7"/>
    <w:rsid w:val="1931BA1C"/>
    <w:rsid w:val="1A4DDE03"/>
    <w:rsid w:val="1A6A1FD6"/>
    <w:rsid w:val="1B0C12F3"/>
    <w:rsid w:val="1B2C59B4"/>
    <w:rsid w:val="1B78240A"/>
    <w:rsid w:val="1C8F00EC"/>
    <w:rsid w:val="1CE64CD2"/>
    <w:rsid w:val="1D174131"/>
    <w:rsid w:val="1D7C6931"/>
    <w:rsid w:val="1DC2C501"/>
    <w:rsid w:val="1E6197F0"/>
    <w:rsid w:val="1EB197FD"/>
    <w:rsid w:val="1F1D86ED"/>
    <w:rsid w:val="1F848374"/>
    <w:rsid w:val="20341E61"/>
    <w:rsid w:val="203B9628"/>
    <w:rsid w:val="204D685E"/>
    <w:rsid w:val="2062817B"/>
    <w:rsid w:val="207E3420"/>
    <w:rsid w:val="2093C8AC"/>
    <w:rsid w:val="20981CCE"/>
    <w:rsid w:val="2181602A"/>
    <w:rsid w:val="21F84C4B"/>
    <w:rsid w:val="220DF4D9"/>
    <w:rsid w:val="236E8620"/>
    <w:rsid w:val="23F12227"/>
    <w:rsid w:val="24623C05"/>
    <w:rsid w:val="24D0CBD6"/>
    <w:rsid w:val="24F168EF"/>
    <w:rsid w:val="2519DD82"/>
    <w:rsid w:val="257210E8"/>
    <w:rsid w:val="25C6B148"/>
    <w:rsid w:val="26B5ADE3"/>
    <w:rsid w:val="281D1D54"/>
    <w:rsid w:val="2842E01C"/>
    <w:rsid w:val="28447293"/>
    <w:rsid w:val="29A8BE6D"/>
    <w:rsid w:val="29BDC8B2"/>
    <w:rsid w:val="2A88E3F0"/>
    <w:rsid w:val="2ACEFD63"/>
    <w:rsid w:val="2B38AFFD"/>
    <w:rsid w:val="2BE7AD91"/>
    <w:rsid w:val="2C11232E"/>
    <w:rsid w:val="2CCD4038"/>
    <w:rsid w:val="2E47FF61"/>
    <w:rsid w:val="2EFE6276"/>
    <w:rsid w:val="2F5C262C"/>
    <w:rsid w:val="2FBB7EBA"/>
    <w:rsid w:val="2FD3DE34"/>
    <w:rsid w:val="2FF648A8"/>
    <w:rsid w:val="30521F90"/>
    <w:rsid w:val="30BE64AF"/>
    <w:rsid w:val="312B2A81"/>
    <w:rsid w:val="31C72FDB"/>
    <w:rsid w:val="31FD26E2"/>
    <w:rsid w:val="322F1CD8"/>
    <w:rsid w:val="32B126F2"/>
    <w:rsid w:val="335F6AAC"/>
    <w:rsid w:val="3488A7EC"/>
    <w:rsid w:val="34BC27CE"/>
    <w:rsid w:val="355AB1A8"/>
    <w:rsid w:val="361155B5"/>
    <w:rsid w:val="3726A192"/>
    <w:rsid w:val="37DDF294"/>
    <w:rsid w:val="37F3C890"/>
    <w:rsid w:val="385EDCCB"/>
    <w:rsid w:val="386F8F94"/>
    <w:rsid w:val="3A102FEA"/>
    <w:rsid w:val="3A87B589"/>
    <w:rsid w:val="3B313E97"/>
    <w:rsid w:val="3B31ADB7"/>
    <w:rsid w:val="3B3D15EA"/>
    <w:rsid w:val="3B6E9270"/>
    <w:rsid w:val="3C1AD8C8"/>
    <w:rsid w:val="3C44BFEC"/>
    <w:rsid w:val="3C7970B3"/>
    <w:rsid w:val="3D849FFF"/>
    <w:rsid w:val="3DB57401"/>
    <w:rsid w:val="3E69448F"/>
    <w:rsid w:val="3F5EA122"/>
    <w:rsid w:val="3F7008BC"/>
    <w:rsid w:val="3FB3BD63"/>
    <w:rsid w:val="3FDA0350"/>
    <w:rsid w:val="405E51EE"/>
    <w:rsid w:val="4150F6B2"/>
    <w:rsid w:val="4174B96C"/>
    <w:rsid w:val="427A3D1B"/>
    <w:rsid w:val="42A5D9B2"/>
    <w:rsid w:val="43324C1D"/>
    <w:rsid w:val="433E68BD"/>
    <w:rsid w:val="4395D074"/>
    <w:rsid w:val="44E47B36"/>
    <w:rsid w:val="44F6FC79"/>
    <w:rsid w:val="45A0381A"/>
    <w:rsid w:val="4684BAE6"/>
    <w:rsid w:val="46C27426"/>
    <w:rsid w:val="47D6A0EB"/>
    <w:rsid w:val="47E6AC6F"/>
    <w:rsid w:val="4801FA9E"/>
    <w:rsid w:val="489FA037"/>
    <w:rsid w:val="48DA5819"/>
    <w:rsid w:val="48DB1089"/>
    <w:rsid w:val="498F9AFB"/>
    <w:rsid w:val="4B3D8078"/>
    <w:rsid w:val="4CC6BD7E"/>
    <w:rsid w:val="4D238A5D"/>
    <w:rsid w:val="4D612737"/>
    <w:rsid w:val="4D65E1FC"/>
    <w:rsid w:val="4E41E15C"/>
    <w:rsid w:val="50A40E83"/>
    <w:rsid w:val="50ACC6BD"/>
    <w:rsid w:val="5129EA6D"/>
    <w:rsid w:val="5275933A"/>
    <w:rsid w:val="53104B96"/>
    <w:rsid w:val="5317F45F"/>
    <w:rsid w:val="5373785C"/>
    <w:rsid w:val="53DD4AB5"/>
    <w:rsid w:val="53E59559"/>
    <w:rsid w:val="544068F5"/>
    <w:rsid w:val="544B516C"/>
    <w:rsid w:val="5453FE5B"/>
    <w:rsid w:val="54B8A706"/>
    <w:rsid w:val="55C9B004"/>
    <w:rsid w:val="55DCBEFD"/>
    <w:rsid w:val="5625EDB7"/>
    <w:rsid w:val="5772EC8A"/>
    <w:rsid w:val="5833DC9E"/>
    <w:rsid w:val="5843D4AF"/>
    <w:rsid w:val="59FFD026"/>
    <w:rsid w:val="5AA8AAB9"/>
    <w:rsid w:val="5B27E88A"/>
    <w:rsid w:val="5C9A2B50"/>
    <w:rsid w:val="5CBD1F52"/>
    <w:rsid w:val="5DE5481F"/>
    <w:rsid w:val="5EB6B264"/>
    <w:rsid w:val="5EF0F6EC"/>
    <w:rsid w:val="5EF16949"/>
    <w:rsid w:val="6081AEA7"/>
    <w:rsid w:val="608D49FE"/>
    <w:rsid w:val="60FB2EF1"/>
    <w:rsid w:val="620C3AF3"/>
    <w:rsid w:val="62D78F0E"/>
    <w:rsid w:val="63A5C8FE"/>
    <w:rsid w:val="63C7AC61"/>
    <w:rsid w:val="646598CC"/>
    <w:rsid w:val="64D1D610"/>
    <w:rsid w:val="64D7073B"/>
    <w:rsid w:val="64E1CBC9"/>
    <w:rsid w:val="671AFACC"/>
    <w:rsid w:val="67270B59"/>
    <w:rsid w:val="67C4D54D"/>
    <w:rsid w:val="6856A8C5"/>
    <w:rsid w:val="691BBDFC"/>
    <w:rsid w:val="6A16C115"/>
    <w:rsid w:val="6BC8612B"/>
    <w:rsid w:val="6BE3FEBE"/>
    <w:rsid w:val="6C0E4AE6"/>
    <w:rsid w:val="6E7D9A9C"/>
    <w:rsid w:val="6EC1E0DA"/>
    <w:rsid w:val="6EE303E7"/>
    <w:rsid w:val="6F632669"/>
    <w:rsid w:val="6FB63101"/>
    <w:rsid w:val="715D75BB"/>
    <w:rsid w:val="71703965"/>
    <w:rsid w:val="72570564"/>
    <w:rsid w:val="73118A2E"/>
    <w:rsid w:val="734AC21F"/>
    <w:rsid w:val="746032B8"/>
    <w:rsid w:val="747C2149"/>
    <w:rsid w:val="74BEEE3B"/>
    <w:rsid w:val="75523396"/>
    <w:rsid w:val="7597B667"/>
    <w:rsid w:val="75F7B14E"/>
    <w:rsid w:val="7728F6D6"/>
    <w:rsid w:val="778F92D9"/>
    <w:rsid w:val="779CEFEF"/>
    <w:rsid w:val="77E1198A"/>
    <w:rsid w:val="78D580A8"/>
    <w:rsid w:val="78EC53FE"/>
    <w:rsid w:val="790FF15F"/>
    <w:rsid w:val="7AFF91EF"/>
    <w:rsid w:val="7B927625"/>
    <w:rsid w:val="7BEE5AB6"/>
    <w:rsid w:val="7C9B6250"/>
    <w:rsid w:val="7D35EEC0"/>
    <w:rsid w:val="7D614DFD"/>
    <w:rsid w:val="7D651AA2"/>
    <w:rsid w:val="7D70768E"/>
    <w:rsid w:val="7D99D0F1"/>
    <w:rsid w:val="7DF11620"/>
    <w:rsid w:val="7E2ED486"/>
    <w:rsid w:val="7E62BFD6"/>
    <w:rsid w:val="7FD303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4FF8"/>
  <w15:chartTrackingRefBased/>
  <w15:docId w15:val="{6665C2DE-A80D-4821-B974-7780D914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DB3"/>
  </w:style>
  <w:style w:type="paragraph" w:styleId="Heading1">
    <w:name w:val="heading 1"/>
    <w:basedOn w:val="Normal"/>
    <w:link w:val="Heading1Char"/>
    <w:uiPriority w:val="9"/>
    <w:qFormat/>
    <w:rsid w:val="00F7712B"/>
    <w:pPr>
      <w:spacing w:before="100" w:beforeAutospacing="1" w:after="100" w:afterAutospacing="1" w:line="240" w:lineRule="auto"/>
      <w:outlineLvl w:val="0"/>
    </w:pPr>
    <w:rPr>
      <w:rFonts w:eastAsia="Times New Roman" w:cs="Times New Roman"/>
      <w:b/>
      <w:bCs/>
      <w:kern w:val="36"/>
      <w:sz w:val="32"/>
      <w:szCs w:val="48"/>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EE4"/>
    <w:pPr>
      <w:ind w:left="720"/>
      <w:contextualSpacing/>
    </w:pPr>
  </w:style>
  <w:style w:type="paragraph" w:customStyle="1" w:styleId="Default">
    <w:name w:val="Default"/>
    <w:rsid w:val="00422EE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2EE4"/>
    <w:rPr>
      <w:color w:val="0563C1" w:themeColor="hyperlink"/>
      <w:u w:val="single"/>
    </w:rPr>
  </w:style>
  <w:style w:type="paragraph" w:styleId="Header">
    <w:name w:val="header"/>
    <w:basedOn w:val="Normal"/>
    <w:link w:val="HeaderChar"/>
    <w:uiPriority w:val="99"/>
    <w:unhideWhenUsed/>
    <w:rsid w:val="00B9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ED0"/>
  </w:style>
  <w:style w:type="paragraph" w:styleId="Footer">
    <w:name w:val="footer"/>
    <w:basedOn w:val="Normal"/>
    <w:link w:val="FooterChar"/>
    <w:uiPriority w:val="99"/>
    <w:unhideWhenUsed/>
    <w:rsid w:val="00B9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ED0"/>
  </w:style>
  <w:style w:type="character" w:styleId="CommentReference">
    <w:name w:val="annotation reference"/>
    <w:basedOn w:val="DefaultParagraphFont"/>
    <w:uiPriority w:val="99"/>
    <w:semiHidden/>
    <w:unhideWhenUsed/>
    <w:rsid w:val="006C1D46"/>
    <w:rPr>
      <w:sz w:val="16"/>
      <w:szCs w:val="16"/>
    </w:rPr>
  </w:style>
  <w:style w:type="paragraph" w:styleId="CommentText">
    <w:name w:val="annotation text"/>
    <w:basedOn w:val="Normal"/>
    <w:link w:val="CommentTextChar"/>
    <w:uiPriority w:val="99"/>
    <w:unhideWhenUsed/>
    <w:rsid w:val="006C1D46"/>
    <w:pPr>
      <w:spacing w:line="240" w:lineRule="auto"/>
    </w:pPr>
    <w:rPr>
      <w:sz w:val="20"/>
      <w:szCs w:val="20"/>
    </w:rPr>
  </w:style>
  <w:style w:type="character" w:customStyle="1" w:styleId="CommentTextChar">
    <w:name w:val="Comment Text Char"/>
    <w:basedOn w:val="DefaultParagraphFont"/>
    <w:link w:val="CommentText"/>
    <w:uiPriority w:val="99"/>
    <w:rsid w:val="006C1D46"/>
    <w:rPr>
      <w:sz w:val="20"/>
      <w:szCs w:val="20"/>
    </w:rPr>
  </w:style>
  <w:style w:type="paragraph" w:styleId="CommentSubject">
    <w:name w:val="annotation subject"/>
    <w:basedOn w:val="CommentText"/>
    <w:next w:val="CommentText"/>
    <w:link w:val="CommentSubjectChar"/>
    <w:uiPriority w:val="99"/>
    <w:semiHidden/>
    <w:unhideWhenUsed/>
    <w:rsid w:val="006C1D46"/>
    <w:rPr>
      <w:b/>
      <w:bCs/>
    </w:rPr>
  </w:style>
  <w:style w:type="character" w:customStyle="1" w:styleId="CommentSubjectChar">
    <w:name w:val="Comment Subject Char"/>
    <w:basedOn w:val="CommentTextChar"/>
    <w:link w:val="CommentSubject"/>
    <w:uiPriority w:val="99"/>
    <w:semiHidden/>
    <w:rsid w:val="006C1D46"/>
    <w:rPr>
      <w:b/>
      <w:bCs/>
      <w:sz w:val="20"/>
      <w:szCs w:val="20"/>
    </w:rPr>
  </w:style>
  <w:style w:type="paragraph" w:styleId="BalloonText">
    <w:name w:val="Balloon Text"/>
    <w:basedOn w:val="Normal"/>
    <w:link w:val="BalloonTextChar"/>
    <w:uiPriority w:val="99"/>
    <w:semiHidden/>
    <w:unhideWhenUsed/>
    <w:rsid w:val="00F7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2B"/>
    <w:rPr>
      <w:rFonts w:ascii="Segoe UI" w:hAnsi="Segoe UI" w:cs="Segoe UI"/>
      <w:sz w:val="18"/>
      <w:szCs w:val="18"/>
    </w:rPr>
  </w:style>
  <w:style w:type="character" w:customStyle="1" w:styleId="Heading1Char">
    <w:name w:val="Heading 1 Char"/>
    <w:basedOn w:val="DefaultParagraphFont"/>
    <w:link w:val="Heading1"/>
    <w:uiPriority w:val="9"/>
    <w:rsid w:val="00F7712B"/>
    <w:rPr>
      <w:rFonts w:eastAsia="Times New Roman" w:cs="Times New Roman"/>
      <w:b/>
      <w:bCs/>
      <w:kern w:val="36"/>
      <w:sz w:val="32"/>
      <w:szCs w:val="48"/>
      <w:u w:val="single"/>
      <w:lang w:eastAsia="en-GB"/>
    </w:rPr>
  </w:style>
  <w:style w:type="table" w:styleId="TableGrid">
    <w:name w:val="Table Grid"/>
    <w:basedOn w:val="TableNormal"/>
    <w:uiPriority w:val="39"/>
    <w:rsid w:val="00F7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34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180B4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u w:val="none"/>
      <w:lang w:val="en-US" w:eastAsia="en-US"/>
    </w:rPr>
  </w:style>
  <w:style w:type="paragraph" w:styleId="TOC1">
    <w:name w:val="toc 1"/>
    <w:basedOn w:val="Normal"/>
    <w:next w:val="Normal"/>
    <w:autoRedefine/>
    <w:uiPriority w:val="39"/>
    <w:unhideWhenUsed/>
    <w:rsid w:val="00180B47"/>
    <w:pPr>
      <w:spacing w:after="100"/>
    </w:pPr>
  </w:style>
  <w:style w:type="table" w:customStyle="1" w:styleId="TableGrid1">
    <w:name w:val="Table Grid1"/>
    <w:basedOn w:val="TableNormal"/>
    <w:next w:val="TableGrid"/>
    <w:uiPriority w:val="39"/>
    <w:rsid w:val="008A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7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6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E5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31E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3831EA"/>
  </w:style>
  <w:style w:type="character" w:customStyle="1" w:styleId="eop">
    <w:name w:val="eop"/>
    <w:basedOn w:val="DefaultParagraphFont"/>
    <w:rsid w:val="003831EA"/>
  </w:style>
  <w:style w:type="paragraph" w:styleId="Revision">
    <w:name w:val="Revision"/>
    <w:hidden/>
    <w:uiPriority w:val="99"/>
    <w:semiHidden/>
    <w:rsid w:val="001C08BD"/>
    <w:pPr>
      <w:spacing w:after="0" w:line="240" w:lineRule="auto"/>
    </w:pPr>
  </w:style>
  <w:style w:type="character" w:styleId="FollowedHyperlink">
    <w:name w:val="FollowedHyperlink"/>
    <w:basedOn w:val="DefaultParagraphFont"/>
    <w:uiPriority w:val="99"/>
    <w:semiHidden/>
    <w:unhideWhenUsed/>
    <w:rsid w:val="005C4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88494">
      <w:bodyDiv w:val="1"/>
      <w:marLeft w:val="0"/>
      <w:marRight w:val="0"/>
      <w:marTop w:val="0"/>
      <w:marBottom w:val="0"/>
      <w:divBdr>
        <w:top w:val="none" w:sz="0" w:space="0" w:color="auto"/>
        <w:left w:val="none" w:sz="0" w:space="0" w:color="auto"/>
        <w:bottom w:val="none" w:sz="0" w:space="0" w:color="auto"/>
        <w:right w:val="none" w:sz="0" w:space="0" w:color="auto"/>
      </w:divBdr>
      <w:divsChild>
        <w:div w:id="1324159559">
          <w:marLeft w:val="0"/>
          <w:marRight w:val="0"/>
          <w:marTop w:val="0"/>
          <w:marBottom w:val="0"/>
          <w:divBdr>
            <w:top w:val="none" w:sz="0" w:space="0" w:color="auto"/>
            <w:left w:val="none" w:sz="0" w:space="0" w:color="auto"/>
            <w:bottom w:val="none" w:sz="0" w:space="0" w:color="auto"/>
            <w:right w:val="none" w:sz="0" w:space="0" w:color="auto"/>
          </w:divBdr>
          <w:divsChild>
            <w:div w:id="232619272">
              <w:marLeft w:val="0"/>
              <w:marRight w:val="0"/>
              <w:marTop w:val="0"/>
              <w:marBottom w:val="0"/>
              <w:divBdr>
                <w:top w:val="none" w:sz="0" w:space="0" w:color="auto"/>
                <w:left w:val="none" w:sz="0" w:space="0" w:color="auto"/>
                <w:bottom w:val="none" w:sz="0" w:space="0" w:color="auto"/>
                <w:right w:val="none" w:sz="0" w:space="0" w:color="auto"/>
              </w:divBdr>
            </w:div>
          </w:divsChild>
        </w:div>
        <w:div w:id="1797406698">
          <w:marLeft w:val="0"/>
          <w:marRight w:val="0"/>
          <w:marTop w:val="0"/>
          <w:marBottom w:val="0"/>
          <w:divBdr>
            <w:top w:val="none" w:sz="0" w:space="0" w:color="auto"/>
            <w:left w:val="none" w:sz="0" w:space="0" w:color="auto"/>
            <w:bottom w:val="none" w:sz="0" w:space="0" w:color="auto"/>
            <w:right w:val="none" w:sz="0" w:space="0" w:color="auto"/>
          </w:divBdr>
          <w:divsChild>
            <w:div w:id="720593559">
              <w:marLeft w:val="0"/>
              <w:marRight w:val="0"/>
              <w:marTop w:val="0"/>
              <w:marBottom w:val="0"/>
              <w:divBdr>
                <w:top w:val="none" w:sz="0" w:space="0" w:color="auto"/>
                <w:left w:val="none" w:sz="0" w:space="0" w:color="auto"/>
                <w:bottom w:val="none" w:sz="0" w:space="0" w:color="auto"/>
                <w:right w:val="none" w:sz="0" w:space="0" w:color="auto"/>
              </w:divBdr>
            </w:div>
          </w:divsChild>
        </w:div>
        <w:div w:id="29885826">
          <w:marLeft w:val="0"/>
          <w:marRight w:val="0"/>
          <w:marTop w:val="0"/>
          <w:marBottom w:val="0"/>
          <w:divBdr>
            <w:top w:val="none" w:sz="0" w:space="0" w:color="auto"/>
            <w:left w:val="none" w:sz="0" w:space="0" w:color="auto"/>
            <w:bottom w:val="none" w:sz="0" w:space="0" w:color="auto"/>
            <w:right w:val="none" w:sz="0" w:space="0" w:color="auto"/>
          </w:divBdr>
          <w:divsChild>
            <w:div w:id="498271686">
              <w:marLeft w:val="0"/>
              <w:marRight w:val="0"/>
              <w:marTop w:val="0"/>
              <w:marBottom w:val="0"/>
              <w:divBdr>
                <w:top w:val="none" w:sz="0" w:space="0" w:color="auto"/>
                <w:left w:val="none" w:sz="0" w:space="0" w:color="auto"/>
                <w:bottom w:val="none" w:sz="0" w:space="0" w:color="auto"/>
                <w:right w:val="none" w:sz="0" w:space="0" w:color="auto"/>
              </w:divBdr>
            </w:div>
          </w:divsChild>
        </w:div>
        <w:div w:id="169638823">
          <w:marLeft w:val="0"/>
          <w:marRight w:val="0"/>
          <w:marTop w:val="0"/>
          <w:marBottom w:val="0"/>
          <w:divBdr>
            <w:top w:val="none" w:sz="0" w:space="0" w:color="auto"/>
            <w:left w:val="none" w:sz="0" w:space="0" w:color="auto"/>
            <w:bottom w:val="none" w:sz="0" w:space="0" w:color="auto"/>
            <w:right w:val="none" w:sz="0" w:space="0" w:color="auto"/>
          </w:divBdr>
          <w:divsChild>
            <w:div w:id="1577202525">
              <w:marLeft w:val="0"/>
              <w:marRight w:val="0"/>
              <w:marTop w:val="0"/>
              <w:marBottom w:val="0"/>
              <w:divBdr>
                <w:top w:val="none" w:sz="0" w:space="0" w:color="auto"/>
                <w:left w:val="none" w:sz="0" w:space="0" w:color="auto"/>
                <w:bottom w:val="none" w:sz="0" w:space="0" w:color="auto"/>
                <w:right w:val="none" w:sz="0" w:space="0" w:color="auto"/>
              </w:divBdr>
            </w:div>
          </w:divsChild>
        </w:div>
        <w:div w:id="296450969">
          <w:marLeft w:val="0"/>
          <w:marRight w:val="0"/>
          <w:marTop w:val="0"/>
          <w:marBottom w:val="0"/>
          <w:divBdr>
            <w:top w:val="none" w:sz="0" w:space="0" w:color="auto"/>
            <w:left w:val="none" w:sz="0" w:space="0" w:color="auto"/>
            <w:bottom w:val="none" w:sz="0" w:space="0" w:color="auto"/>
            <w:right w:val="none" w:sz="0" w:space="0" w:color="auto"/>
          </w:divBdr>
          <w:divsChild>
            <w:div w:id="1642076255">
              <w:marLeft w:val="0"/>
              <w:marRight w:val="0"/>
              <w:marTop w:val="0"/>
              <w:marBottom w:val="0"/>
              <w:divBdr>
                <w:top w:val="none" w:sz="0" w:space="0" w:color="auto"/>
                <w:left w:val="none" w:sz="0" w:space="0" w:color="auto"/>
                <w:bottom w:val="none" w:sz="0" w:space="0" w:color="auto"/>
                <w:right w:val="none" w:sz="0" w:space="0" w:color="auto"/>
              </w:divBdr>
            </w:div>
          </w:divsChild>
        </w:div>
        <w:div w:id="1178731716">
          <w:marLeft w:val="0"/>
          <w:marRight w:val="0"/>
          <w:marTop w:val="0"/>
          <w:marBottom w:val="0"/>
          <w:divBdr>
            <w:top w:val="none" w:sz="0" w:space="0" w:color="auto"/>
            <w:left w:val="none" w:sz="0" w:space="0" w:color="auto"/>
            <w:bottom w:val="none" w:sz="0" w:space="0" w:color="auto"/>
            <w:right w:val="none" w:sz="0" w:space="0" w:color="auto"/>
          </w:divBdr>
          <w:divsChild>
            <w:div w:id="967050770">
              <w:marLeft w:val="0"/>
              <w:marRight w:val="0"/>
              <w:marTop w:val="0"/>
              <w:marBottom w:val="0"/>
              <w:divBdr>
                <w:top w:val="none" w:sz="0" w:space="0" w:color="auto"/>
                <w:left w:val="none" w:sz="0" w:space="0" w:color="auto"/>
                <w:bottom w:val="none" w:sz="0" w:space="0" w:color="auto"/>
                <w:right w:val="none" w:sz="0" w:space="0" w:color="auto"/>
              </w:divBdr>
            </w:div>
            <w:div w:id="1608002782">
              <w:marLeft w:val="0"/>
              <w:marRight w:val="0"/>
              <w:marTop w:val="0"/>
              <w:marBottom w:val="0"/>
              <w:divBdr>
                <w:top w:val="none" w:sz="0" w:space="0" w:color="auto"/>
                <w:left w:val="none" w:sz="0" w:space="0" w:color="auto"/>
                <w:bottom w:val="none" w:sz="0" w:space="0" w:color="auto"/>
                <w:right w:val="none" w:sz="0" w:space="0" w:color="auto"/>
              </w:divBdr>
            </w:div>
            <w:div w:id="1736203230">
              <w:marLeft w:val="0"/>
              <w:marRight w:val="0"/>
              <w:marTop w:val="0"/>
              <w:marBottom w:val="0"/>
              <w:divBdr>
                <w:top w:val="none" w:sz="0" w:space="0" w:color="auto"/>
                <w:left w:val="none" w:sz="0" w:space="0" w:color="auto"/>
                <w:bottom w:val="none" w:sz="0" w:space="0" w:color="auto"/>
                <w:right w:val="none" w:sz="0" w:space="0" w:color="auto"/>
              </w:divBdr>
            </w:div>
            <w:div w:id="2015452429">
              <w:marLeft w:val="0"/>
              <w:marRight w:val="0"/>
              <w:marTop w:val="0"/>
              <w:marBottom w:val="0"/>
              <w:divBdr>
                <w:top w:val="none" w:sz="0" w:space="0" w:color="auto"/>
                <w:left w:val="none" w:sz="0" w:space="0" w:color="auto"/>
                <w:bottom w:val="none" w:sz="0" w:space="0" w:color="auto"/>
                <w:right w:val="none" w:sz="0" w:space="0" w:color="auto"/>
              </w:divBdr>
            </w:div>
            <w:div w:id="1562056557">
              <w:marLeft w:val="0"/>
              <w:marRight w:val="0"/>
              <w:marTop w:val="0"/>
              <w:marBottom w:val="0"/>
              <w:divBdr>
                <w:top w:val="none" w:sz="0" w:space="0" w:color="auto"/>
                <w:left w:val="none" w:sz="0" w:space="0" w:color="auto"/>
                <w:bottom w:val="none" w:sz="0" w:space="0" w:color="auto"/>
                <w:right w:val="none" w:sz="0" w:space="0" w:color="auto"/>
              </w:divBdr>
            </w:div>
            <w:div w:id="782848491">
              <w:marLeft w:val="0"/>
              <w:marRight w:val="0"/>
              <w:marTop w:val="0"/>
              <w:marBottom w:val="0"/>
              <w:divBdr>
                <w:top w:val="none" w:sz="0" w:space="0" w:color="auto"/>
                <w:left w:val="none" w:sz="0" w:space="0" w:color="auto"/>
                <w:bottom w:val="none" w:sz="0" w:space="0" w:color="auto"/>
                <w:right w:val="none" w:sz="0" w:space="0" w:color="auto"/>
              </w:divBdr>
            </w:div>
          </w:divsChild>
        </w:div>
        <w:div w:id="302740814">
          <w:marLeft w:val="0"/>
          <w:marRight w:val="0"/>
          <w:marTop w:val="0"/>
          <w:marBottom w:val="0"/>
          <w:divBdr>
            <w:top w:val="none" w:sz="0" w:space="0" w:color="auto"/>
            <w:left w:val="none" w:sz="0" w:space="0" w:color="auto"/>
            <w:bottom w:val="none" w:sz="0" w:space="0" w:color="auto"/>
            <w:right w:val="none" w:sz="0" w:space="0" w:color="auto"/>
          </w:divBdr>
          <w:divsChild>
            <w:div w:id="1722944897">
              <w:marLeft w:val="0"/>
              <w:marRight w:val="0"/>
              <w:marTop w:val="0"/>
              <w:marBottom w:val="0"/>
              <w:divBdr>
                <w:top w:val="none" w:sz="0" w:space="0" w:color="auto"/>
                <w:left w:val="none" w:sz="0" w:space="0" w:color="auto"/>
                <w:bottom w:val="none" w:sz="0" w:space="0" w:color="auto"/>
                <w:right w:val="none" w:sz="0" w:space="0" w:color="auto"/>
              </w:divBdr>
            </w:div>
          </w:divsChild>
        </w:div>
        <w:div w:id="333606443">
          <w:marLeft w:val="0"/>
          <w:marRight w:val="0"/>
          <w:marTop w:val="0"/>
          <w:marBottom w:val="0"/>
          <w:divBdr>
            <w:top w:val="none" w:sz="0" w:space="0" w:color="auto"/>
            <w:left w:val="none" w:sz="0" w:space="0" w:color="auto"/>
            <w:bottom w:val="none" w:sz="0" w:space="0" w:color="auto"/>
            <w:right w:val="none" w:sz="0" w:space="0" w:color="auto"/>
          </w:divBdr>
          <w:divsChild>
            <w:div w:id="1708949106">
              <w:marLeft w:val="0"/>
              <w:marRight w:val="0"/>
              <w:marTop w:val="0"/>
              <w:marBottom w:val="0"/>
              <w:divBdr>
                <w:top w:val="none" w:sz="0" w:space="0" w:color="auto"/>
                <w:left w:val="none" w:sz="0" w:space="0" w:color="auto"/>
                <w:bottom w:val="none" w:sz="0" w:space="0" w:color="auto"/>
                <w:right w:val="none" w:sz="0" w:space="0" w:color="auto"/>
              </w:divBdr>
            </w:div>
          </w:divsChild>
        </w:div>
        <w:div w:id="1547644941">
          <w:marLeft w:val="0"/>
          <w:marRight w:val="0"/>
          <w:marTop w:val="0"/>
          <w:marBottom w:val="0"/>
          <w:divBdr>
            <w:top w:val="none" w:sz="0" w:space="0" w:color="auto"/>
            <w:left w:val="none" w:sz="0" w:space="0" w:color="auto"/>
            <w:bottom w:val="none" w:sz="0" w:space="0" w:color="auto"/>
            <w:right w:val="none" w:sz="0" w:space="0" w:color="auto"/>
          </w:divBdr>
          <w:divsChild>
            <w:div w:id="454833371">
              <w:marLeft w:val="0"/>
              <w:marRight w:val="0"/>
              <w:marTop w:val="0"/>
              <w:marBottom w:val="0"/>
              <w:divBdr>
                <w:top w:val="none" w:sz="0" w:space="0" w:color="auto"/>
                <w:left w:val="none" w:sz="0" w:space="0" w:color="auto"/>
                <w:bottom w:val="none" w:sz="0" w:space="0" w:color="auto"/>
                <w:right w:val="none" w:sz="0" w:space="0" w:color="auto"/>
              </w:divBdr>
            </w:div>
          </w:divsChild>
        </w:div>
        <w:div w:id="182670605">
          <w:marLeft w:val="0"/>
          <w:marRight w:val="0"/>
          <w:marTop w:val="0"/>
          <w:marBottom w:val="0"/>
          <w:divBdr>
            <w:top w:val="none" w:sz="0" w:space="0" w:color="auto"/>
            <w:left w:val="none" w:sz="0" w:space="0" w:color="auto"/>
            <w:bottom w:val="none" w:sz="0" w:space="0" w:color="auto"/>
            <w:right w:val="none" w:sz="0" w:space="0" w:color="auto"/>
          </w:divBdr>
          <w:divsChild>
            <w:div w:id="1771117390">
              <w:marLeft w:val="0"/>
              <w:marRight w:val="0"/>
              <w:marTop w:val="0"/>
              <w:marBottom w:val="0"/>
              <w:divBdr>
                <w:top w:val="none" w:sz="0" w:space="0" w:color="auto"/>
                <w:left w:val="none" w:sz="0" w:space="0" w:color="auto"/>
                <w:bottom w:val="none" w:sz="0" w:space="0" w:color="auto"/>
                <w:right w:val="none" w:sz="0" w:space="0" w:color="auto"/>
              </w:divBdr>
            </w:div>
          </w:divsChild>
        </w:div>
        <w:div w:id="498544230">
          <w:marLeft w:val="0"/>
          <w:marRight w:val="0"/>
          <w:marTop w:val="0"/>
          <w:marBottom w:val="0"/>
          <w:divBdr>
            <w:top w:val="none" w:sz="0" w:space="0" w:color="auto"/>
            <w:left w:val="none" w:sz="0" w:space="0" w:color="auto"/>
            <w:bottom w:val="none" w:sz="0" w:space="0" w:color="auto"/>
            <w:right w:val="none" w:sz="0" w:space="0" w:color="auto"/>
          </w:divBdr>
          <w:divsChild>
            <w:div w:id="1928151467">
              <w:marLeft w:val="0"/>
              <w:marRight w:val="0"/>
              <w:marTop w:val="0"/>
              <w:marBottom w:val="0"/>
              <w:divBdr>
                <w:top w:val="none" w:sz="0" w:space="0" w:color="auto"/>
                <w:left w:val="none" w:sz="0" w:space="0" w:color="auto"/>
                <w:bottom w:val="none" w:sz="0" w:space="0" w:color="auto"/>
                <w:right w:val="none" w:sz="0" w:space="0" w:color="auto"/>
              </w:divBdr>
            </w:div>
            <w:div w:id="1293903547">
              <w:marLeft w:val="0"/>
              <w:marRight w:val="0"/>
              <w:marTop w:val="0"/>
              <w:marBottom w:val="0"/>
              <w:divBdr>
                <w:top w:val="none" w:sz="0" w:space="0" w:color="auto"/>
                <w:left w:val="none" w:sz="0" w:space="0" w:color="auto"/>
                <w:bottom w:val="none" w:sz="0" w:space="0" w:color="auto"/>
                <w:right w:val="none" w:sz="0" w:space="0" w:color="auto"/>
              </w:divBdr>
            </w:div>
            <w:div w:id="1052197520">
              <w:marLeft w:val="0"/>
              <w:marRight w:val="0"/>
              <w:marTop w:val="0"/>
              <w:marBottom w:val="0"/>
              <w:divBdr>
                <w:top w:val="none" w:sz="0" w:space="0" w:color="auto"/>
                <w:left w:val="none" w:sz="0" w:space="0" w:color="auto"/>
                <w:bottom w:val="none" w:sz="0" w:space="0" w:color="auto"/>
                <w:right w:val="none" w:sz="0" w:space="0" w:color="auto"/>
              </w:divBdr>
            </w:div>
            <w:div w:id="947353128">
              <w:marLeft w:val="0"/>
              <w:marRight w:val="0"/>
              <w:marTop w:val="0"/>
              <w:marBottom w:val="0"/>
              <w:divBdr>
                <w:top w:val="none" w:sz="0" w:space="0" w:color="auto"/>
                <w:left w:val="none" w:sz="0" w:space="0" w:color="auto"/>
                <w:bottom w:val="none" w:sz="0" w:space="0" w:color="auto"/>
                <w:right w:val="none" w:sz="0" w:space="0" w:color="auto"/>
              </w:divBdr>
            </w:div>
            <w:div w:id="84687376">
              <w:marLeft w:val="0"/>
              <w:marRight w:val="0"/>
              <w:marTop w:val="0"/>
              <w:marBottom w:val="0"/>
              <w:divBdr>
                <w:top w:val="none" w:sz="0" w:space="0" w:color="auto"/>
                <w:left w:val="none" w:sz="0" w:space="0" w:color="auto"/>
                <w:bottom w:val="none" w:sz="0" w:space="0" w:color="auto"/>
                <w:right w:val="none" w:sz="0" w:space="0" w:color="auto"/>
              </w:divBdr>
            </w:div>
          </w:divsChild>
        </w:div>
        <w:div w:id="1966546643">
          <w:marLeft w:val="0"/>
          <w:marRight w:val="0"/>
          <w:marTop w:val="0"/>
          <w:marBottom w:val="0"/>
          <w:divBdr>
            <w:top w:val="none" w:sz="0" w:space="0" w:color="auto"/>
            <w:left w:val="none" w:sz="0" w:space="0" w:color="auto"/>
            <w:bottom w:val="none" w:sz="0" w:space="0" w:color="auto"/>
            <w:right w:val="none" w:sz="0" w:space="0" w:color="auto"/>
          </w:divBdr>
          <w:divsChild>
            <w:div w:id="328021105">
              <w:marLeft w:val="0"/>
              <w:marRight w:val="0"/>
              <w:marTop w:val="0"/>
              <w:marBottom w:val="0"/>
              <w:divBdr>
                <w:top w:val="none" w:sz="0" w:space="0" w:color="auto"/>
                <w:left w:val="none" w:sz="0" w:space="0" w:color="auto"/>
                <w:bottom w:val="none" w:sz="0" w:space="0" w:color="auto"/>
                <w:right w:val="none" w:sz="0" w:space="0" w:color="auto"/>
              </w:divBdr>
            </w:div>
          </w:divsChild>
        </w:div>
        <w:div w:id="879584833">
          <w:marLeft w:val="0"/>
          <w:marRight w:val="0"/>
          <w:marTop w:val="0"/>
          <w:marBottom w:val="0"/>
          <w:divBdr>
            <w:top w:val="none" w:sz="0" w:space="0" w:color="auto"/>
            <w:left w:val="none" w:sz="0" w:space="0" w:color="auto"/>
            <w:bottom w:val="none" w:sz="0" w:space="0" w:color="auto"/>
            <w:right w:val="none" w:sz="0" w:space="0" w:color="auto"/>
          </w:divBdr>
          <w:divsChild>
            <w:div w:id="117065828">
              <w:marLeft w:val="0"/>
              <w:marRight w:val="0"/>
              <w:marTop w:val="0"/>
              <w:marBottom w:val="0"/>
              <w:divBdr>
                <w:top w:val="none" w:sz="0" w:space="0" w:color="auto"/>
                <w:left w:val="none" w:sz="0" w:space="0" w:color="auto"/>
                <w:bottom w:val="none" w:sz="0" w:space="0" w:color="auto"/>
                <w:right w:val="none" w:sz="0" w:space="0" w:color="auto"/>
              </w:divBdr>
            </w:div>
            <w:div w:id="1243444874">
              <w:marLeft w:val="0"/>
              <w:marRight w:val="0"/>
              <w:marTop w:val="0"/>
              <w:marBottom w:val="0"/>
              <w:divBdr>
                <w:top w:val="none" w:sz="0" w:space="0" w:color="auto"/>
                <w:left w:val="none" w:sz="0" w:space="0" w:color="auto"/>
                <w:bottom w:val="none" w:sz="0" w:space="0" w:color="auto"/>
                <w:right w:val="none" w:sz="0" w:space="0" w:color="auto"/>
              </w:divBdr>
            </w:div>
            <w:div w:id="879443320">
              <w:marLeft w:val="0"/>
              <w:marRight w:val="0"/>
              <w:marTop w:val="0"/>
              <w:marBottom w:val="0"/>
              <w:divBdr>
                <w:top w:val="none" w:sz="0" w:space="0" w:color="auto"/>
                <w:left w:val="none" w:sz="0" w:space="0" w:color="auto"/>
                <w:bottom w:val="none" w:sz="0" w:space="0" w:color="auto"/>
                <w:right w:val="none" w:sz="0" w:space="0" w:color="auto"/>
              </w:divBdr>
            </w:div>
            <w:div w:id="766540150">
              <w:marLeft w:val="0"/>
              <w:marRight w:val="0"/>
              <w:marTop w:val="0"/>
              <w:marBottom w:val="0"/>
              <w:divBdr>
                <w:top w:val="none" w:sz="0" w:space="0" w:color="auto"/>
                <w:left w:val="none" w:sz="0" w:space="0" w:color="auto"/>
                <w:bottom w:val="none" w:sz="0" w:space="0" w:color="auto"/>
                <w:right w:val="none" w:sz="0" w:space="0" w:color="auto"/>
              </w:divBdr>
            </w:div>
            <w:div w:id="1346640252">
              <w:marLeft w:val="0"/>
              <w:marRight w:val="0"/>
              <w:marTop w:val="0"/>
              <w:marBottom w:val="0"/>
              <w:divBdr>
                <w:top w:val="none" w:sz="0" w:space="0" w:color="auto"/>
                <w:left w:val="none" w:sz="0" w:space="0" w:color="auto"/>
                <w:bottom w:val="none" w:sz="0" w:space="0" w:color="auto"/>
                <w:right w:val="none" w:sz="0" w:space="0" w:color="auto"/>
              </w:divBdr>
            </w:div>
          </w:divsChild>
        </w:div>
        <w:div w:id="1552185205">
          <w:marLeft w:val="0"/>
          <w:marRight w:val="0"/>
          <w:marTop w:val="0"/>
          <w:marBottom w:val="0"/>
          <w:divBdr>
            <w:top w:val="none" w:sz="0" w:space="0" w:color="auto"/>
            <w:left w:val="none" w:sz="0" w:space="0" w:color="auto"/>
            <w:bottom w:val="none" w:sz="0" w:space="0" w:color="auto"/>
            <w:right w:val="none" w:sz="0" w:space="0" w:color="auto"/>
          </w:divBdr>
          <w:divsChild>
            <w:div w:id="1147942334">
              <w:marLeft w:val="0"/>
              <w:marRight w:val="0"/>
              <w:marTop w:val="0"/>
              <w:marBottom w:val="0"/>
              <w:divBdr>
                <w:top w:val="none" w:sz="0" w:space="0" w:color="auto"/>
                <w:left w:val="none" w:sz="0" w:space="0" w:color="auto"/>
                <w:bottom w:val="none" w:sz="0" w:space="0" w:color="auto"/>
                <w:right w:val="none" w:sz="0" w:space="0" w:color="auto"/>
              </w:divBdr>
            </w:div>
            <w:div w:id="1676956205">
              <w:marLeft w:val="0"/>
              <w:marRight w:val="0"/>
              <w:marTop w:val="0"/>
              <w:marBottom w:val="0"/>
              <w:divBdr>
                <w:top w:val="none" w:sz="0" w:space="0" w:color="auto"/>
                <w:left w:val="none" w:sz="0" w:space="0" w:color="auto"/>
                <w:bottom w:val="none" w:sz="0" w:space="0" w:color="auto"/>
                <w:right w:val="none" w:sz="0" w:space="0" w:color="auto"/>
              </w:divBdr>
            </w:div>
            <w:div w:id="1846823106">
              <w:marLeft w:val="0"/>
              <w:marRight w:val="0"/>
              <w:marTop w:val="0"/>
              <w:marBottom w:val="0"/>
              <w:divBdr>
                <w:top w:val="none" w:sz="0" w:space="0" w:color="auto"/>
                <w:left w:val="none" w:sz="0" w:space="0" w:color="auto"/>
                <w:bottom w:val="none" w:sz="0" w:space="0" w:color="auto"/>
                <w:right w:val="none" w:sz="0" w:space="0" w:color="auto"/>
              </w:divBdr>
            </w:div>
            <w:div w:id="1186791929">
              <w:marLeft w:val="0"/>
              <w:marRight w:val="0"/>
              <w:marTop w:val="0"/>
              <w:marBottom w:val="0"/>
              <w:divBdr>
                <w:top w:val="none" w:sz="0" w:space="0" w:color="auto"/>
                <w:left w:val="none" w:sz="0" w:space="0" w:color="auto"/>
                <w:bottom w:val="none" w:sz="0" w:space="0" w:color="auto"/>
                <w:right w:val="none" w:sz="0" w:space="0" w:color="auto"/>
              </w:divBdr>
            </w:div>
            <w:div w:id="1222709681">
              <w:marLeft w:val="0"/>
              <w:marRight w:val="0"/>
              <w:marTop w:val="0"/>
              <w:marBottom w:val="0"/>
              <w:divBdr>
                <w:top w:val="none" w:sz="0" w:space="0" w:color="auto"/>
                <w:left w:val="none" w:sz="0" w:space="0" w:color="auto"/>
                <w:bottom w:val="none" w:sz="0" w:space="0" w:color="auto"/>
                <w:right w:val="none" w:sz="0" w:space="0" w:color="auto"/>
              </w:divBdr>
            </w:div>
            <w:div w:id="1226261612">
              <w:marLeft w:val="0"/>
              <w:marRight w:val="0"/>
              <w:marTop w:val="0"/>
              <w:marBottom w:val="0"/>
              <w:divBdr>
                <w:top w:val="none" w:sz="0" w:space="0" w:color="auto"/>
                <w:left w:val="none" w:sz="0" w:space="0" w:color="auto"/>
                <w:bottom w:val="none" w:sz="0" w:space="0" w:color="auto"/>
                <w:right w:val="none" w:sz="0" w:space="0" w:color="auto"/>
              </w:divBdr>
            </w:div>
            <w:div w:id="2056394350">
              <w:marLeft w:val="0"/>
              <w:marRight w:val="0"/>
              <w:marTop w:val="0"/>
              <w:marBottom w:val="0"/>
              <w:divBdr>
                <w:top w:val="none" w:sz="0" w:space="0" w:color="auto"/>
                <w:left w:val="none" w:sz="0" w:space="0" w:color="auto"/>
                <w:bottom w:val="none" w:sz="0" w:space="0" w:color="auto"/>
                <w:right w:val="none" w:sz="0" w:space="0" w:color="auto"/>
              </w:divBdr>
            </w:div>
            <w:div w:id="452099238">
              <w:marLeft w:val="0"/>
              <w:marRight w:val="0"/>
              <w:marTop w:val="0"/>
              <w:marBottom w:val="0"/>
              <w:divBdr>
                <w:top w:val="none" w:sz="0" w:space="0" w:color="auto"/>
                <w:left w:val="none" w:sz="0" w:space="0" w:color="auto"/>
                <w:bottom w:val="none" w:sz="0" w:space="0" w:color="auto"/>
                <w:right w:val="none" w:sz="0" w:space="0" w:color="auto"/>
              </w:divBdr>
            </w:div>
            <w:div w:id="677197611">
              <w:marLeft w:val="0"/>
              <w:marRight w:val="0"/>
              <w:marTop w:val="0"/>
              <w:marBottom w:val="0"/>
              <w:divBdr>
                <w:top w:val="none" w:sz="0" w:space="0" w:color="auto"/>
                <w:left w:val="none" w:sz="0" w:space="0" w:color="auto"/>
                <w:bottom w:val="none" w:sz="0" w:space="0" w:color="auto"/>
                <w:right w:val="none" w:sz="0" w:space="0" w:color="auto"/>
              </w:divBdr>
            </w:div>
            <w:div w:id="172570535">
              <w:marLeft w:val="0"/>
              <w:marRight w:val="0"/>
              <w:marTop w:val="0"/>
              <w:marBottom w:val="0"/>
              <w:divBdr>
                <w:top w:val="none" w:sz="0" w:space="0" w:color="auto"/>
                <w:left w:val="none" w:sz="0" w:space="0" w:color="auto"/>
                <w:bottom w:val="none" w:sz="0" w:space="0" w:color="auto"/>
                <w:right w:val="none" w:sz="0" w:space="0" w:color="auto"/>
              </w:divBdr>
            </w:div>
            <w:div w:id="702755728">
              <w:marLeft w:val="0"/>
              <w:marRight w:val="0"/>
              <w:marTop w:val="0"/>
              <w:marBottom w:val="0"/>
              <w:divBdr>
                <w:top w:val="none" w:sz="0" w:space="0" w:color="auto"/>
                <w:left w:val="none" w:sz="0" w:space="0" w:color="auto"/>
                <w:bottom w:val="none" w:sz="0" w:space="0" w:color="auto"/>
                <w:right w:val="none" w:sz="0" w:space="0" w:color="auto"/>
              </w:divBdr>
            </w:div>
            <w:div w:id="777527575">
              <w:marLeft w:val="0"/>
              <w:marRight w:val="0"/>
              <w:marTop w:val="0"/>
              <w:marBottom w:val="0"/>
              <w:divBdr>
                <w:top w:val="none" w:sz="0" w:space="0" w:color="auto"/>
                <w:left w:val="none" w:sz="0" w:space="0" w:color="auto"/>
                <w:bottom w:val="none" w:sz="0" w:space="0" w:color="auto"/>
                <w:right w:val="none" w:sz="0" w:space="0" w:color="auto"/>
              </w:divBdr>
            </w:div>
            <w:div w:id="183176719">
              <w:marLeft w:val="0"/>
              <w:marRight w:val="0"/>
              <w:marTop w:val="0"/>
              <w:marBottom w:val="0"/>
              <w:divBdr>
                <w:top w:val="none" w:sz="0" w:space="0" w:color="auto"/>
                <w:left w:val="none" w:sz="0" w:space="0" w:color="auto"/>
                <w:bottom w:val="none" w:sz="0" w:space="0" w:color="auto"/>
                <w:right w:val="none" w:sz="0" w:space="0" w:color="auto"/>
              </w:divBdr>
            </w:div>
          </w:divsChild>
        </w:div>
        <w:div w:id="1880630726">
          <w:marLeft w:val="0"/>
          <w:marRight w:val="0"/>
          <w:marTop w:val="0"/>
          <w:marBottom w:val="0"/>
          <w:divBdr>
            <w:top w:val="none" w:sz="0" w:space="0" w:color="auto"/>
            <w:left w:val="none" w:sz="0" w:space="0" w:color="auto"/>
            <w:bottom w:val="none" w:sz="0" w:space="0" w:color="auto"/>
            <w:right w:val="none" w:sz="0" w:space="0" w:color="auto"/>
          </w:divBdr>
          <w:divsChild>
            <w:div w:id="2139644287">
              <w:marLeft w:val="0"/>
              <w:marRight w:val="0"/>
              <w:marTop w:val="0"/>
              <w:marBottom w:val="0"/>
              <w:divBdr>
                <w:top w:val="none" w:sz="0" w:space="0" w:color="auto"/>
                <w:left w:val="none" w:sz="0" w:space="0" w:color="auto"/>
                <w:bottom w:val="none" w:sz="0" w:space="0" w:color="auto"/>
                <w:right w:val="none" w:sz="0" w:space="0" w:color="auto"/>
              </w:divBdr>
            </w:div>
          </w:divsChild>
        </w:div>
        <w:div w:id="530726769">
          <w:marLeft w:val="0"/>
          <w:marRight w:val="0"/>
          <w:marTop w:val="0"/>
          <w:marBottom w:val="0"/>
          <w:divBdr>
            <w:top w:val="none" w:sz="0" w:space="0" w:color="auto"/>
            <w:left w:val="none" w:sz="0" w:space="0" w:color="auto"/>
            <w:bottom w:val="none" w:sz="0" w:space="0" w:color="auto"/>
            <w:right w:val="none" w:sz="0" w:space="0" w:color="auto"/>
          </w:divBdr>
          <w:divsChild>
            <w:div w:id="546844236">
              <w:marLeft w:val="0"/>
              <w:marRight w:val="0"/>
              <w:marTop w:val="0"/>
              <w:marBottom w:val="0"/>
              <w:divBdr>
                <w:top w:val="none" w:sz="0" w:space="0" w:color="auto"/>
                <w:left w:val="none" w:sz="0" w:space="0" w:color="auto"/>
                <w:bottom w:val="none" w:sz="0" w:space="0" w:color="auto"/>
                <w:right w:val="none" w:sz="0" w:space="0" w:color="auto"/>
              </w:divBdr>
            </w:div>
            <w:div w:id="668558005">
              <w:marLeft w:val="0"/>
              <w:marRight w:val="0"/>
              <w:marTop w:val="0"/>
              <w:marBottom w:val="0"/>
              <w:divBdr>
                <w:top w:val="none" w:sz="0" w:space="0" w:color="auto"/>
                <w:left w:val="none" w:sz="0" w:space="0" w:color="auto"/>
                <w:bottom w:val="none" w:sz="0" w:space="0" w:color="auto"/>
                <w:right w:val="none" w:sz="0" w:space="0" w:color="auto"/>
              </w:divBdr>
            </w:div>
            <w:div w:id="1458529587">
              <w:marLeft w:val="0"/>
              <w:marRight w:val="0"/>
              <w:marTop w:val="0"/>
              <w:marBottom w:val="0"/>
              <w:divBdr>
                <w:top w:val="none" w:sz="0" w:space="0" w:color="auto"/>
                <w:left w:val="none" w:sz="0" w:space="0" w:color="auto"/>
                <w:bottom w:val="none" w:sz="0" w:space="0" w:color="auto"/>
                <w:right w:val="none" w:sz="0" w:space="0" w:color="auto"/>
              </w:divBdr>
            </w:div>
            <w:div w:id="2066559347">
              <w:marLeft w:val="0"/>
              <w:marRight w:val="0"/>
              <w:marTop w:val="0"/>
              <w:marBottom w:val="0"/>
              <w:divBdr>
                <w:top w:val="none" w:sz="0" w:space="0" w:color="auto"/>
                <w:left w:val="none" w:sz="0" w:space="0" w:color="auto"/>
                <w:bottom w:val="none" w:sz="0" w:space="0" w:color="auto"/>
                <w:right w:val="none" w:sz="0" w:space="0" w:color="auto"/>
              </w:divBdr>
            </w:div>
          </w:divsChild>
        </w:div>
        <w:div w:id="1224945974">
          <w:marLeft w:val="0"/>
          <w:marRight w:val="0"/>
          <w:marTop w:val="0"/>
          <w:marBottom w:val="0"/>
          <w:divBdr>
            <w:top w:val="none" w:sz="0" w:space="0" w:color="auto"/>
            <w:left w:val="none" w:sz="0" w:space="0" w:color="auto"/>
            <w:bottom w:val="none" w:sz="0" w:space="0" w:color="auto"/>
            <w:right w:val="none" w:sz="0" w:space="0" w:color="auto"/>
          </w:divBdr>
          <w:divsChild>
            <w:div w:id="1597322183">
              <w:marLeft w:val="0"/>
              <w:marRight w:val="0"/>
              <w:marTop w:val="0"/>
              <w:marBottom w:val="0"/>
              <w:divBdr>
                <w:top w:val="none" w:sz="0" w:space="0" w:color="auto"/>
                <w:left w:val="none" w:sz="0" w:space="0" w:color="auto"/>
                <w:bottom w:val="none" w:sz="0" w:space="0" w:color="auto"/>
                <w:right w:val="none" w:sz="0" w:space="0" w:color="auto"/>
              </w:divBdr>
            </w:div>
            <w:div w:id="1686251254">
              <w:marLeft w:val="0"/>
              <w:marRight w:val="0"/>
              <w:marTop w:val="0"/>
              <w:marBottom w:val="0"/>
              <w:divBdr>
                <w:top w:val="none" w:sz="0" w:space="0" w:color="auto"/>
                <w:left w:val="none" w:sz="0" w:space="0" w:color="auto"/>
                <w:bottom w:val="none" w:sz="0" w:space="0" w:color="auto"/>
                <w:right w:val="none" w:sz="0" w:space="0" w:color="auto"/>
              </w:divBdr>
            </w:div>
          </w:divsChild>
        </w:div>
        <w:div w:id="839127595">
          <w:marLeft w:val="0"/>
          <w:marRight w:val="0"/>
          <w:marTop w:val="0"/>
          <w:marBottom w:val="0"/>
          <w:divBdr>
            <w:top w:val="none" w:sz="0" w:space="0" w:color="auto"/>
            <w:left w:val="none" w:sz="0" w:space="0" w:color="auto"/>
            <w:bottom w:val="none" w:sz="0" w:space="0" w:color="auto"/>
            <w:right w:val="none" w:sz="0" w:space="0" w:color="auto"/>
          </w:divBdr>
          <w:divsChild>
            <w:div w:id="2109111932">
              <w:marLeft w:val="0"/>
              <w:marRight w:val="0"/>
              <w:marTop w:val="0"/>
              <w:marBottom w:val="0"/>
              <w:divBdr>
                <w:top w:val="none" w:sz="0" w:space="0" w:color="auto"/>
                <w:left w:val="none" w:sz="0" w:space="0" w:color="auto"/>
                <w:bottom w:val="none" w:sz="0" w:space="0" w:color="auto"/>
                <w:right w:val="none" w:sz="0" w:space="0" w:color="auto"/>
              </w:divBdr>
            </w:div>
            <w:div w:id="144515846">
              <w:marLeft w:val="0"/>
              <w:marRight w:val="0"/>
              <w:marTop w:val="0"/>
              <w:marBottom w:val="0"/>
              <w:divBdr>
                <w:top w:val="none" w:sz="0" w:space="0" w:color="auto"/>
                <w:left w:val="none" w:sz="0" w:space="0" w:color="auto"/>
                <w:bottom w:val="none" w:sz="0" w:space="0" w:color="auto"/>
                <w:right w:val="none" w:sz="0" w:space="0" w:color="auto"/>
              </w:divBdr>
            </w:div>
            <w:div w:id="1119298447">
              <w:marLeft w:val="0"/>
              <w:marRight w:val="0"/>
              <w:marTop w:val="0"/>
              <w:marBottom w:val="0"/>
              <w:divBdr>
                <w:top w:val="none" w:sz="0" w:space="0" w:color="auto"/>
                <w:left w:val="none" w:sz="0" w:space="0" w:color="auto"/>
                <w:bottom w:val="none" w:sz="0" w:space="0" w:color="auto"/>
                <w:right w:val="none" w:sz="0" w:space="0" w:color="auto"/>
              </w:divBdr>
            </w:div>
          </w:divsChild>
        </w:div>
        <w:div w:id="2042853048">
          <w:marLeft w:val="0"/>
          <w:marRight w:val="0"/>
          <w:marTop w:val="0"/>
          <w:marBottom w:val="0"/>
          <w:divBdr>
            <w:top w:val="none" w:sz="0" w:space="0" w:color="auto"/>
            <w:left w:val="none" w:sz="0" w:space="0" w:color="auto"/>
            <w:bottom w:val="none" w:sz="0" w:space="0" w:color="auto"/>
            <w:right w:val="none" w:sz="0" w:space="0" w:color="auto"/>
          </w:divBdr>
          <w:divsChild>
            <w:div w:id="2030108821">
              <w:marLeft w:val="0"/>
              <w:marRight w:val="0"/>
              <w:marTop w:val="0"/>
              <w:marBottom w:val="0"/>
              <w:divBdr>
                <w:top w:val="none" w:sz="0" w:space="0" w:color="auto"/>
                <w:left w:val="none" w:sz="0" w:space="0" w:color="auto"/>
                <w:bottom w:val="none" w:sz="0" w:space="0" w:color="auto"/>
                <w:right w:val="none" w:sz="0" w:space="0" w:color="auto"/>
              </w:divBdr>
            </w:div>
            <w:div w:id="1759325793">
              <w:marLeft w:val="0"/>
              <w:marRight w:val="0"/>
              <w:marTop w:val="0"/>
              <w:marBottom w:val="0"/>
              <w:divBdr>
                <w:top w:val="none" w:sz="0" w:space="0" w:color="auto"/>
                <w:left w:val="none" w:sz="0" w:space="0" w:color="auto"/>
                <w:bottom w:val="none" w:sz="0" w:space="0" w:color="auto"/>
                <w:right w:val="none" w:sz="0" w:space="0" w:color="auto"/>
              </w:divBdr>
            </w:div>
            <w:div w:id="1367220853">
              <w:marLeft w:val="0"/>
              <w:marRight w:val="0"/>
              <w:marTop w:val="0"/>
              <w:marBottom w:val="0"/>
              <w:divBdr>
                <w:top w:val="none" w:sz="0" w:space="0" w:color="auto"/>
                <w:left w:val="none" w:sz="0" w:space="0" w:color="auto"/>
                <w:bottom w:val="none" w:sz="0" w:space="0" w:color="auto"/>
                <w:right w:val="none" w:sz="0" w:space="0" w:color="auto"/>
              </w:divBdr>
            </w:div>
            <w:div w:id="2030060380">
              <w:marLeft w:val="0"/>
              <w:marRight w:val="0"/>
              <w:marTop w:val="0"/>
              <w:marBottom w:val="0"/>
              <w:divBdr>
                <w:top w:val="none" w:sz="0" w:space="0" w:color="auto"/>
                <w:left w:val="none" w:sz="0" w:space="0" w:color="auto"/>
                <w:bottom w:val="none" w:sz="0" w:space="0" w:color="auto"/>
                <w:right w:val="none" w:sz="0" w:space="0" w:color="auto"/>
              </w:divBdr>
            </w:div>
            <w:div w:id="1280910983">
              <w:marLeft w:val="0"/>
              <w:marRight w:val="0"/>
              <w:marTop w:val="0"/>
              <w:marBottom w:val="0"/>
              <w:divBdr>
                <w:top w:val="none" w:sz="0" w:space="0" w:color="auto"/>
                <w:left w:val="none" w:sz="0" w:space="0" w:color="auto"/>
                <w:bottom w:val="none" w:sz="0" w:space="0" w:color="auto"/>
                <w:right w:val="none" w:sz="0" w:space="0" w:color="auto"/>
              </w:divBdr>
            </w:div>
            <w:div w:id="239944729">
              <w:marLeft w:val="0"/>
              <w:marRight w:val="0"/>
              <w:marTop w:val="0"/>
              <w:marBottom w:val="0"/>
              <w:divBdr>
                <w:top w:val="none" w:sz="0" w:space="0" w:color="auto"/>
                <w:left w:val="none" w:sz="0" w:space="0" w:color="auto"/>
                <w:bottom w:val="none" w:sz="0" w:space="0" w:color="auto"/>
                <w:right w:val="none" w:sz="0" w:space="0" w:color="auto"/>
              </w:divBdr>
            </w:div>
            <w:div w:id="2083676407">
              <w:marLeft w:val="0"/>
              <w:marRight w:val="0"/>
              <w:marTop w:val="0"/>
              <w:marBottom w:val="0"/>
              <w:divBdr>
                <w:top w:val="none" w:sz="0" w:space="0" w:color="auto"/>
                <w:left w:val="none" w:sz="0" w:space="0" w:color="auto"/>
                <w:bottom w:val="none" w:sz="0" w:space="0" w:color="auto"/>
                <w:right w:val="none" w:sz="0" w:space="0" w:color="auto"/>
              </w:divBdr>
            </w:div>
            <w:div w:id="266038982">
              <w:marLeft w:val="0"/>
              <w:marRight w:val="0"/>
              <w:marTop w:val="0"/>
              <w:marBottom w:val="0"/>
              <w:divBdr>
                <w:top w:val="none" w:sz="0" w:space="0" w:color="auto"/>
                <w:left w:val="none" w:sz="0" w:space="0" w:color="auto"/>
                <w:bottom w:val="none" w:sz="0" w:space="0" w:color="auto"/>
                <w:right w:val="none" w:sz="0" w:space="0" w:color="auto"/>
              </w:divBdr>
            </w:div>
            <w:div w:id="1090663539">
              <w:marLeft w:val="0"/>
              <w:marRight w:val="0"/>
              <w:marTop w:val="0"/>
              <w:marBottom w:val="0"/>
              <w:divBdr>
                <w:top w:val="none" w:sz="0" w:space="0" w:color="auto"/>
                <w:left w:val="none" w:sz="0" w:space="0" w:color="auto"/>
                <w:bottom w:val="none" w:sz="0" w:space="0" w:color="auto"/>
                <w:right w:val="none" w:sz="0" w:space="0" w:color="auto"/>
              </w:divBdr>
            </w:div>
            <w:div w:id="1126700209">
              <w:marLeft w:val="0"/>
              <w:marRight w:val="0"/>
              <w:marTop w:val="0"/>
              <w:marBottom w:val="0"/>
              <w:divBdr>
                <w:top w:val="none" w:sz="0" w:space="0" w:color="auto"/>
                <w:left w:val="none" w:sz="0" w:space="0" w:color="auto"/>
                <w:bottom w:val="none" w:sz="0" w:space="0" w:color="auto"/>
                <w:right w:val="none" w:sz="0" w:space="0" w:color="auto"/>
              </w:divBdr>
            </w:div>
            <w:div w:id="1405177088">
              <w:marLeft w:val="0"/>
              <w:marRight w:val="0"/>
              <w:marTop w:val="0"/>
              <w:marBottom w:val="0"/>
              <w:divBdr>
                <w:top w:val="none" w:sz="0" w:space="0" w:color="auto"/>
                <w:left w:val="none" w:sz="0" w:space="0" w:color="auto"/>
                <w:bottom w:val="none" w:sz="0" w:space="0" w:color="auto"/>
                <w:right w:val="none" w:sz="0" w:space="0" w:color="auto"/>
              </w:divBdr>
            </w:div>
            <w:div w:id="310258264">
              <w:marLeft w:val="0"/>
              <w:marRight w:val="0"/>
              <w:marTop w:val="0"/>
              <w:marBottom w:val="0"/>
              <w:divBdr>
                <w:top w:val="none" w:sz="0" w:space="0" w:color="auto"/>
                <w:left w:val="none" w:sz="0" w:space="0" w:color="auto"/>
                <w:bottom w:val="none" w:sz="0" w:space="0" w:color="auto"/>
                <w:right w:val="none" w:sz="0" w:space="0" w:color="auto"/>
              </w:divBdr>
            </w:div>
            <w:div w:id="2083915598">
              <w:marLeft w:val="0"/>
              <w:marRight w:val="0"/>
              <w:marTop w:val="0"/>
              <w:marBottom w:val="0"/>
              <w:divBdr>
                <w:top w:val="none" w:sz="0" w:space="0" w:color="auto"/>
                <w:left w:val="none" w:sz="0" w:space="0" w:color="auto"/>
                <w:bottom w:val="none" w:sz="0" w:space="0" w:color="auto"/>
                <w:right w:val="none" w:sz="0" w:space="0" w:color="auto"/>
              </w:divBdr>
            </w:div>
            <w:div w:id="1402757195">
              <w:marLeft w:val="0"/>
              <w:marRight w:val="0"/>
              <w:marTop w:val="0"/>
              <w:marBottom w:val="0"/>
              <w:divBdr>
                <w:top w:val="none" w:sz="0" w:space="0" w:color="auto"/>
                <w:left w:val="none" w:sz="0" w:space="0" w:color="auto"/>
                <w:bottom w:val="none" w:sz="0" w:space="0" w:color="auto"/>
                <w:right w:val="none" w:sz="0" w:space="0" w:color="auto"/>
              </w:divBdr>
            </w:div>
            <w:div w:id="1121726084">
              <w:marLeft w:val="0"/>
              <w:marRight w:val="0"/>
              <w:marTop w:val="0"/>
              <w:marBottom w:val="0"/>
              <w:divBdr>
                <w:top w:val="none" w:sz="0" w:space="0" w:color="auto"/>
                <w:left w:val="none" w:sz="0" w:space="0" w:color="auto"/>
                <w:bottom w:val="none" w:sz="0" w:space="0" w:color="auto"/>
                <w:right w:val="none" w:sz="0" w:space="0" w:color="auto"/>
              </w:divBdr>
            </w:div>
            <w:div w:id="427434590">
              <w:marLeft w:val="0"/>
              <w:marRight w:val="0"/>
              <w:marTop w:val="0"/>
              <w:marBottom w:val="0"/>
              <w:divBdr>
                <w:top w:val="none" w:sz="0" w:space="0" w:color="auto"/>
                <w:left w:val="none" w:sz="0" w:space="0" w:color="auto"/>
                <w:bottom w:val="none" w:sz="0" w:space="0" w:color="auto"/>
                <w:right w:val="none" w:sz="0" w:space="0" w:color="auto"/>
              </w:divBdr>
            </w:div>
            <w:div w:id="2095932143">
              <w:marLeft w:val="0"/>
              <w:marRight w:val="0"/>
              <w:marTop w:val="0"/>
              <w:marBottom w:val="0"/>
              <w:divBdr>
                <w:top w:val="none" w:sz="0" w:space="0" w:color="auto"/>
                <w:left w:val="none" w:sz="0" w:space="0" w:color="auto"/>
                <w:bottom w:val="none" w:sz="0" w:space="0" w:color="auto"/>
                <w:right w:val="none" w:sz="0" w:space="0" w:color="auto"/>
              </w:divBdr>
            </w:div>
            <w:div w:id="349458247">
              <w:marLeft w:val="0"/>
              <w:marRight w:val="0"/>
              <w:marTop w:val="0"/>
              <w:marBottom w:val="0"/>
              <w:divBdr>
                <w:top w:val="none" w:sz="0" w:space="0" w:color="auto"/>
                <w:left w:val="none" w:sz="0" w:space="0" w:color="auto"/>
                <w:bottom w:val="none" w:sz="0" w:space="0" w:color="auto"/>
                <w:right w:val="none" w:sz="0" w:space="0" w:color="auto"/>
              </w:divBdr>
            </w:div>
            <w:div w:id="122040194">
              <w:marLeft w:val="0"/>
              <w:marRight w:val="0"/>
              <w:marTop w:val="0"/>
              <w:marBottom w:val="0"/>
              <w:divBdr>
                <w:top w:val="none" w:sz="0" w:space="0" w:color="auto"/>
                <w:left w:val="none" w:sz="0" w:space="0" w:color="auto"/>
                <w:bottom w:val="none" w:sz="0" w:space="0" w:color="auto"/>
                <w:right w:val="none" w:sz="0" w:space="0" w:color="auto"/>
              </w:divBdr>
            </w:div>
            <w:div w:id="699860133">
              <w:marLeft w:val="0"/>
              <w:marRight w:val="0"/>
              <w:marTop w:val="0"/>
              <w:marBottom w:val="0"/>
              <w:divBdr>
                <w:top w:val="none" w:sz="0" w:space="0" w:color="auto"/>
                <w:left w:val="none" w:sz="0" w:space="0" w:color="auto"/>
                <w:bottom w:val="none" w:sz="0" w:space="0" w:color="auto"/>
                <w:right w:val="none" w:sz="0" w:space="0" w:color="auto"/>
              </w:divBdr>
            </w:div>
            <w:div w:id="1042168113">
              <w:marLeft w:val="0"/>
              <w:marRight w:val="0"/>
              <w:marTop w:val="0"/>
              <w:marBottom w:val="0"/>
              <w:divBdr>
                <w:top w:val="none" w:sz="0" w:space="0" w:color="auto"/>
                <w:left w:val="none" w:sz="0" w:space="0" w:color="auto"/>
                <w:bottom w:val="none" w:sz="0" w:space="0" w:color="auto"/>
                <w:right w:val="none" w:sz="0" w:space="0" w:color="auto"/>
              </w:divBdr>
            </w:div>
            <w:div w:id="603070663">
              <w:marLeft w:val="0"/>
              <w:marRight w:val="0"/>
              <w:marTop w:val="0"/>
              <w:marBottom w:val="0"/>
              <w:divBdr>
                <w:top w:val="none" w:sz="0" w:space="0" w:color="auto"/>
                <w:left w:val="none" w:sz="0" w:space="0" w:color="auto"/>
                <w:bottom w:val="none" w:sz="0" w:space="0" w:color="auto"/>
                <w:right w:val="none" w:sz="0" w:space="0" w:color="auto"/>
              </w:divBdr>
            </w:div>
            <w:div w:id="302197319">
              <w:marLeft w:val="0"/>
              <w:marRight w:val="0"/>
              <w:marTop w:val="0"/>
              <w:marBottom w:val="0"/>
              <w:divBdr>
                <w:top w:val="none" w:sz="0" w:space="0" w:color="auto"/>
                <w:left w:val="none" w:sz="0" w:space="0" w:color="auto"/>
                <w:bottom w:val="none" w:sz="0" w:space="0" w:color="auto"/>
                <w:right w:val="none" w:sz="0" w:space="0" w:color="auto"/>
              </w:divBdr>
            </w:div>
            <w:div w:id="2898828">
              <w:marLeft w:val="0"/>
              <w:marRight w:val="0"/>
              <w:marTop w:val="0"/>
              <w:marBottom w:val="0"/>
              <w:divBdr>
                <w:top w:val="none" w:sz="0" w:space="0" w:color="auto"/>
                <w:left w:val="none" w:sz="0" w:space="0" w:color="auto"/>
                <w:bottom w:val="none" w:sz="0" w:space="0" w:color="auto"/>
                <w:right w:val="none" w:sz="0" w:space="0" w:color="auto"/>
              </w:divBdr>
            </w:div>
            <w:div w:id="1973096251">
              <w:marLeft w:val="0"/>
              <w:marRight w:val="0"/>
              <w:marTop w:val="0"/>
              <w:marBottom w:val="0"/>
              <w:divBdr>
                <w:top w:val="none" w:sz="0" w:space="0" w:color="auto"/>
                <w:left w:val="none" w:sz="0" w:space="0" w:color="auto"/>
                <w:bottom w:val="none" w:sz="0" w:space="0" w:color="auto"/>
                <w:right w:val="none" w:sz="0" w:space="0" w:color="auto"/>
              </w:divBdr>
            </w:div>
            <w:div w:id="1580361597">
              <w:marLeft w:val="0"/>
              <w:marRight w:val="0"/>
              <w:marTop w:val="0"/>
              <w:marBottom w:val="0"/>
              <w:divBdr>
                <w:top w:val="none" w:sz="0" w:space="0" w:color="auto"/>
                <w:left w:val="none" w:sz="0" w:space="0" w:color="auto"/>
                <w:bottom w:val="none" w:sz="0" w:space="0" w:color="auto"/>
                <w:right w:val="none" w:sz="0" w:space="0" w:color="auto"/>
              </w:divBdr>
            </w:div>
            <w:div w:id="1425227030">
              <w:marLeft w:val="0"/>
              <w:marRight w:val="0"/>
              <w:marTop w:val="0"/>
              <w:marBottom w:val="0"/>
              <w:divBdr>
                <w:top w:val="none" w:sz="0" w:space="0" w:color="auto"/>
                <w:left w:val="none" w:sz="0" w:space="0" w:color="auto"/>
                <w:bottom w:val="none" w:sz="0" w:space="0" w:color="auto"/>
                <w:right w:val="none" w:sz="0" w:space="0" w:color="auto"/>
              </w:divBdr>
            </w:div>
            <w:div w:id="297223870">
              <w:marLeft w:val="0"/>
              <w:marRight w:val="0"/>
              <w:marTop w:val="0"/>
              <w:marBottom w:val="0"/>
              <w:divBdr>
                <w:top w:val="none" w:sz="0" w:space="0" w:color="auto"/>
                <w:left w:val="none" w:sz="0" w:space="0" w:color="auto"/>
                <w:bottom w:val="none" w:sz="0" w:space="0" w:color="auto"/>
                <w:right w:val="none" w:sz="0" w:space="0" w:color="auto"/>
              </w:divBdr>
            </w:div>
            <w:div w:id="1903976292">
              <w:marLeft w:val="0"/>
              <w:marRight w:val="0"/>
              <w:marTop w:val="0"/>
              <w:marBottom w:val="0"/>
              <w:divBdr>
                <w:top w:val="none" w:sz="0" w:space="0" w:color="auto"/>
                <w:left w:val="none" w:sz="0" w:space="0" w:color="auto"/>
                <w:bottom w:val="none" w:sz="0" w:space="0" w:color="auto"/>
                <w:right w:val="none" w:sz="0" w:space="0" w:color="auto"/>
              </w:divBdr>
            </w:div>
            <w:div w:id="842861515">
              <w:marLeft w:val="0"/>
              <w:marRight w:val="0"/>
              <w:marTop w:val="0"/>
              <w:marBottom w:val="0"/>
              <w:divBdr>
                <w:top w:val="none" w:sz="0" w:space="0" w:color="auto"/>
                <w:left w:val="none" w:sz="0" w:space="0" w:color="auto"/>
                <w:bottom w:val="none" w:sz="0" w:space="0" w:color="auto"/>
                <w:right w:val="none" w:sz="0" w:space="0" w:color="auto"/>
              </w:divBdr>
            </w:div>
            <w:div w:id="2037195112">
              <w:marLeft w:val="0"/>
              <w:marRight w:val="0"/>
              <w:marTop w:val="0"/>
              <w:marBottom w:val="0"/>
              <w:divBdr>
                <w:top w:val="none" w:sz="0" w:space="0" w:color="auto"/>
                <w:left w:val="none" w:sz="0" w:space="0" w:color="auto"/>
                <w:bottom w:val="none" w:sz="0" w:space="0" w:color="auto"/>
                <w:right w:val="none" w:sz="0" w:space="0" w:color="auto"/>
              </w:divBdr>
            </w:div>
            <w:div w:id="705524119">
              <w:marLeft w:val="0"/>
              <w:marRight w:val="0"/>
              <w:marTop w:val="0"/>
              <w:marBottom w:val="0"/>
              <w:divBdr>
                <w:top w:val="none" w:sz="0" w:space="0" w:color="auto"/>
                <w:left w:val="none" w:sz="0" w:space="0" w:color="auto"/>
                <w:bottom w:val="none" w:sz="0" w:space="0" w:color="auto"/>
                <w:right w:val="none" w:sz="0" w:space="0" w:color="auto"/>
              </w:divBdr>
            </w:div>
            <w:div w:id="1451511404">
              <w:marLeft w:val="0"/>
              <w:marRight w:val="0"/>
              <w:marTop w:val="0"/>
              <w:marBottom w:val="0"/>
              <w:divBdr>
                <w:top w:val="none" w:sz="0" w:space="0" w:color="auto"/>
                <w:left w:val="none" w:sz="0" w:space="0" w:color="auto"/>
                <w:bottom w:val="none" w:sz="0" w:space="0" w:color="auto"/>
                <w:right w:val="none" w:sz="0" w:space="0" w:color="auto"/>
              </w:divBdr>
            </w:div>
            <w:div w:id="832598750">
              <w:marLeft w:val="0"/>
              <w:marRight w:val="0"/>
              <w:marTop w:val="0"/>
              <w:marBottom w:val="0"/>
              <w:divBdr>
                <w:top w:val="none" w:sz="0" w:space="0" w:color="auto"/>
                <w:left w:val="none" w:sz="0" w:space="0" w:color="auto"/>
                <w:bottom w:val="none" w:sz="0" w:space="0" w:color="auto"/>
                <w:right w:val="none" w:sz="0" w:space="0" w:color="auto"/>
              </w:divBdr>
            </w:div>
            <w:div w:id="1586301058">
              <w:marLeft w:val="0"/>
              <w:marRight w:val="0"/>
              <w:marTop w:val="0"/>
              <w:marBottom w:val="0"/>
              <w:divBdr>
                <w:top w:val="none" w:sz="0" w:space="0" w:color="auto"/>
                <w:left w:val="none" w:sz="0" w:space="0" w:color="auto"/>
                <w:bottom w:val="none" w:sz="0" w:space="0" w:color="auto"/>
                <w:right w:val="none" w:sz="0" w:space="0" w:color="auto"/>
              </w:divBdr>
            </w:div>
            <w:div w:id="1896695677">
              <w:marLeft w:val="0"/>
              <w:marRight w:val="0"/>
              <w:marTop w:val="0"/>
              <w:marBottom w:val="0"/>
              <w:divBdr>
                <w:top w:val="none" w:sz="0" w:space="0" w:color="auto"/>
                <w:left w:val="none" w:sz="0" w:space="0" w:color="auto"/>
                <w:bottom w:val="none" w:sz="0" w:space="0" w:color="auto"/>
                <w:right w:val="none" w:sz="0" w:space="0" w:color="auto"/>
              </w:divBdr>
            </w:div>
            <w:div w:id="848525209">
              <w:marLeft w:val="0"/>
              <w:marRight w:val="0"/>
              <w:marTop w:val="0"/>
              <w:marBottom w:val="0"/>
              <w:divBdr>
                <w:top w:val="none" w:sz="0" w:space="0" w:color="auto"/>
                <w:left w:val="none" w:sz="0" w:space="0" w:color="auto"/>
                <w:bottom w:val="none" w:sz="0" w:space="0" w:color="auto"/>
                <w:right w:val="none" w:sz="0" w:space="0" w:color="auto"/>
              </w:divBdr>
            </w:div>
            <w:div w:id="1351030670">
              <w:marLeft w:val="0"/>
              <w:marRight w:val="0"/>
              <w:marTop w:val="0"/>
              <w:marBottom w:val="0"/>
              <w:divBdr>
                <w:top w:val="none" w:sz="0" w:space="0" w:color="auto"/>
                <w:left w:val="none" w:sz="0" w:space="0" w:color="auto"/>
                <w:bottom w:val="none" w:sz="0" w:space="0" w:color="auto"/>
                <w:right w:val="none" w:sz="0" w:space="0" w:color="auto"/>
              </w:divBdr>
            </w:div>
            <w:div w:id="955136799">
              <w:marLeft w:val="0"/>
              <w:marRight w:val="0"/>
              <w:marTop w:val="0"/>
              <w:marBottom w:val="0"/>
              <w:divBdr>
                <w:top w:val="none" w:sz="0" w:space="0" w:color="auto"/>
                <w:left w:val="none" w:sz="0" w:space="0" w:color="auto"/>
                <w:bottom w:val="none" w:sz="0" w:space="0" w:color="auto"/>
                <w:right w:val="none" w:sz="0" w:space="0" w:color="auto"/>
              </w:divBdr>
            </w:div>
            <w:div w:id="941769198">
              <w:marLeft w:val="0"/>
              <w:marRight w:val="0"/>
              <w:marTop w:val="0"/>
              <w:marBottom w:val="0"/>
              <w:divBdr>
                <w:top w:val="none" w:sz="0" w:space="0" w:color="auto"/>
                <w:left w:val="none" w:sz="0" w:space="0" w:color="auto"/>
                <w:bottom w:val="none" w:sz="0" w:space="0" w:color="auto"/>
                <w:right w:val="none" w:sz="0" w:space="0" w:color="auto"/>
              </w:divBdr>
            </w:div>
            <w:div w:id="1483616628">
              <w:marLeft w:val="0"/>
              <w:marRight w:val="0"/>
              <w:marTop w:val="0"/>
              <w:marBottom w:val="0"/>
              <w:divBdr>
                <w:top w:val="none" w:sz="0" w:space="0" w:color="auto"/>
                <w:left w:val="none" w:sz="0" w:space="0" w:color="auto"/>
                <w:bottom w:val="none" w:sz="0" w:space="0" w:color="auto"/>
                <w:right w:val="none" w:sz="0" w:space="0" w:color="auto"/>
              </w:divBdr>
            </w:div>
            <w:div w:id="911506406">
              <w:marLeft w:val="0"/>
              <w:marRight w:val="0"/>
              <w:marTop w:val="0"/>
              <w:marBottom w:val="0"/>
              <w:divBdr>
                <w:top w:val="none" w:sz="0" w:space="0" w:color="auto"/>
                <w:left w:val="none" w:sz="0" w:space="0" w:color="auto"/>
                <w:bottom w:val="none" w:sz="0" w:space="0" w:color="auto"/>
                <w:right w:val="none" w:sz="0" w:space="0" w:color="auto"/>
              </w:divBdr>
            </w:div>
            <w:div w:id="1537892847">
              <w:marLeft w:val="0"/>
              <w:marRight w:val="0"/>
              <w:marTop w:val="0"/>
              <w:marBottom w:val="0"/>
              <w:divBdr>
                <w:top w:val="none" w:sz="0" w:space="0" w:color="auto"/>
                <w:left w:val="none" w:sz="0" w:space="0" w:color="auto"/>
                <w:bottom w:val="none" w:sz="0" w:space="0" w:color="auto"/>
                <w:right w:val="none" w:sz="0" w:space="0" w:color="auto"/>
              </w:divBdr>
            </w:div>
            <w:div w:id="575478035">
              <w:marLeft w:val="0"/>
              <w:marRight w:val="0"/>
              <w:marTop w:val="0"/>
              <w:marBottom w:val="0"/>
              <w:divBdr>
                <w:top w:val="none" w:sz="0" w:space="0" w:color="auto"/>
                <w:left w:val="none" w:sz="0" w:space="0" w:color="auto"/>
                <w:bottom w:val="none" w:sz="0" w:space="0" w:color="auto"/>
                <w:right w:val="none" w:sz="0" w:space="0" w:color="auto"/>
              </w:divBdr>
            </w:div>
            <w:div w:id="96103435">
              <w:marLeft w:val="0"/>
              <w:marRight w:val="0"/>
              <w:marTop w:val="0"/>
              <w:marBottom w:val="0"/>
              <w:divBdr>
                <w:top w:val="none" w:sz="0" w:space="0" w:color="auto"/>
                <w:left w:val="none" w:sz="0" w:space="0" w:color="auto"/>
                <w:bottom w:val="none" w:sz="0" w:space="0" w:color="auto"/>
                <w:right w:val="none" w:sz="0" w:space="0" w:color="auto"/>
              </w:divBdr>
            </w:div>
            <w:div w:id="79959241">
              <w:marLeft w:val="0"/>
              <w:marRight w:val="0"/>
              <w:marTop w:val="0"/>
              <w:marBottom w:val="0"/>
              <w:divBdr>
                <w:top w:val="none" w:sz="0" w:space="0" w:color="auto"/>
                <w:left w:val="none" w:sz="0" w:space="0" w:color="auto"/>
                <w:bottom w:val="none" w:sz="0" w:space="0" w:color="auto"/>
                <w:right w:val="none" w:sz="0" w:space="0" w:color="auto"/>
              </w:divBdr>
            </w:div>
            <w:div w:id="1753505627">
              <w:marLeft w:val="0"/>
              <w:marRight w:val="0"/>
              <w:marTop w:val="0"/>
              <w:marBottom w:val="0"/>
              <w:divBdr>
                <w:top w:val="none" w:sz="0" w:space="0" w:color="auto"/>
                <w:left w:val="none" w:sz="0" w:space="0" w:color="auto"/>
                <w:bottom w:val="none" w:sz="0" w:space="0" w:color="auto"/>
                <w:right w:val="none" w:sz="0" w:space="0" w:color="auto"/>
              </w:divBdr>
            </w:div>
            <w:div w:id="1043865699">
              <w:marLeft w:val="0"/>
              <w:marRight w:val="0"/>
              <w:marTop w:val="0"/>
              <w:marBottom w:val="0"/>
              <w:divBdr>
                <w:top w:val="none" w:sz="0" w:space="0" w:color="auto"/>
                <w:left w:val="none" w:sz="0" w:space="0" w:color="auto"/>
                <w:bottom w:val="none" w:sz="0" w:space="0" w:color="auto"/>
                <w:right w:val="none" w:sz="0" w:space="0" w:color="auto"/>
              </w:divBdr>
            </w:div>
            <w:div w:id="291906319">
              <w:marLeft w:val="0"/>
              <w:marRight w:val="0"/>
              <w:marTop w:val="0"/>
              <w:marBottom w:val="0"/>
              <w:divBdr>
                <w:top w:val="none" w:sz="0" w:space="0" w:color="auto"/>
                <w:left w:val="none" w:sz="0" w:space="0" w:color="auto"/>
                <w:bottom w:val="none" w:sz="0" w:space="0" w:color="auto"/>
                <w:right w:val="none" w:sz="0" w:space="0" w:color="auto"/>
              </w:divBdr>
            </w:div>
            <w:div w:id="153688721">
              <w:marLeft w:val="0"/>
              <w:marRight w:val="0"/>
              <w:marTop w:val="0"/>
              <w:marBottom w:val="0"/>
              <w:divBdr>
                <w:top w:val="none" w:sz="0" w:space="0" w:color="auto"/>
                <w:left w:val="none" w:sz="0" w:space="0" w:color="auto"/>
                <w:bottom w:val="none" w:sz="0" w:space="0" w:color="auto"/>
                <w:right w:val="none" w:sz="0" w:space="0" w:color="auto"/>
              </w:divBdr>
            </w:div>
            <w:div w:id="891310221">
              <w:marLeft w:val="0"/>
              <w:marRight w:val="0"/>
              <w:marTop w:val="0"/>
              <w:marBottom w:val="0"/>
              <w:divBdr>
                <w:top w:val="none" w:sz="0" w:space="0" w:color="auto"/>
                <w:left w:val="none" w:sz="0" w:space="0" w:color="auto"/>
                <w:bottom w:val="none" w:sz="0" w:space="0" w:color="auto"/>
                <w:right w:val="none" w:sz="0" w:space="0" w:color="auto"/>
              </w:divBdr>
            </w:div>
            <w:div w:id="1658342988">
              <w:marLeft w:val="0"/>
              <w:marRight w:val="0"/>
              <w:marTop w:val="0"/>
              <w:marBottom w:val="0"/>
              <w:divBdr>
                <w:top w:val="none" w:sz="0" w:space="0" w:color="auto"/>
                <w:left w:val="none" w:sz="0" w:space="0" w:color="auto"/>
                <w:bottom w:val="none" w:sz="0" w:space="0" w:color="auto"/>
                <w:right w:val="none" w:sz="0" w:space="0" w:color="auto"/>
              </w:divBdr>
            </w:div>
            <w:div w:id="1769422962">
              <w:marLeft w:val="0"/>
              <w:marRight w:val="0"/>
              <w:marTop w:val="0"/>
              <w:marBottom w:val="0"/>
              <w:divBdr>
                <w:top w:val="none" w:sz="0" w:space="0" w:color="auto"/>
                <w:left w:val="none" w:sz="0" w:space="0" w:color="auto"/>
                <w:bottom w:val="none" w:sz="0" w:space="0" w:color="auto"/>
                <w:right w:val="none" w:sz="0" w:space="0" w:color="auto"/>
              </w:divBdr>
            </w:div>
            <w:div w:id="1979991771">
              <w:marLeft w:val="0"/>
              <w:marRight w:val="0"/>
              <w:marTop w:val="0"/>
              <w:marBottom w:val="0"/>
              <w:divBdr>
                <w:top w:val="none" w:sz="0" w:space="0" w:color="auto"/>
                <w:left w:val="none" w:sz="0" w:space="0" w:color="auto"/>
                <w:bottom w:val="none" w:sz="0" w:space="0" w:color="auto"/>
                <w:right w:val="none" w:sz="0" w:space="0" w:color="auto"/>
              </w:divBdr>
            </w:div>
            <w:div w:id="1837526541">
              <w:marLeft w:val="0"/>
              <w:marRight w:val="0"/>
              <w:marTop w:val="0"/>
              <w:marBottom w:val="0"/>
              <w:divBdr>
                <w:top w:val="none" w:sz="0" w:space="0" w:color="auto"/>
                <w:left w:val="none" w:sz="0" w:space="0" w:color="auto"/>
                <w:bottom w:val="none" w:sz="0" w:space="0" w:color="auto"/>
                <w:right w:val="none" w:sz="0" w:space="0" w:color="auto"/>
              </w:divBdr>
            </w:div>
            <w:div w:id="169176578">
              <w:marLeft w:val="0"/>
              <w:marRight w:val="0"/>
              <w:marTop w:val="0"/>
              <w:marBottom w:val="0"/>
              <w:divBdr>
                <w:top w:val="none" w:sz="0" w:space="0" w:color="auto"/>
                <w:left w:val="none" w:sz="0" w:space="0" w:color="auto"/>
                <w:bottom w:val="none" w:sz="0" w:space="0" w:color="auto"/>
                <w:right w:val="none" w:sz="0" w:space="0" w:color="auto"/>
              </w:divBdr>
            </w:div>
            <w:div w:id="1972904640">
              <w:marLeft w:val="0"/>
              <w:marRight w:val="0"/>
              <w:marTop w:val="0"/>
              <w:marBottom w:val="0"/>
              <w:divBdr>
                <w:top w:val="none" w:sz="0" w:space="0" w:color="auto"/>
                <w:left w:val="none" w:sz="0" w:space="0" w:color="auto"/>
                <w:bottom w:val="none" w:sz="0" w:space="0" w:color="auto"/>
                <w:right w:val="none" w:sz="0" w:space="0" w:color="auto"/>
              </w:divBdr>
            </w:div>
            <w:div w:id="657684433">
              <w:marLeft w:val="0"/>
              <w:marRight w:val="0"/>
              <w:marTop w:val="0"/>
              <w:marBottom w:val="0"/>
              <w:divBdr>
                <w:top w:val="none" w:sz="0" w:space="0" w:color="auto"/>
                <w:left w:val="none" w:sz="0" w:space="0" w:color="auto"/>
                <w:bottom w:val="none" w:sz="0" w:space="0" w:color="auto"/>
                <w:right w:val="none" w:sz="0" w:space="0" w:color="auto"/>
              </w:divBdr>
            </w:div>
            <w:div w:id="1032152815">
              <w:marLeft w:val="0"/>
              <w:marRight w:val="0"/>
              <w:marTop w:val="0"/>
              <w:marBottom w:val="0"/>
              <w:divBdr>
                <w:top w:val="none" w:sz="0" w:space="0" w:color="auto"/>
                <w:left w:val="none" w:sz="0" w:space="0" w:color="auto"/>
                <w:bottom w:val="none" w:sz="0" w:space="0" w:color="auto"/>
                <w:right w:val="none" w:sz="0" w:space="0" w:color="auto"/>
              </w:divBdr>
            </w:div>
            <w:div w:id="305205746">
              <w:marLeft w:val="0"/>
              <w:marRight w:val="0"/>
              <w:marTop w:val="0"/>
              <w:marBottom w:val="0"/>
              <w:divBdr>
                <w:top w:val="none" w:sz="0" w:space="0" w:color="auto"/>
                <w:left w:val="none" w:sz="0" w:space="0" w:color="auto"/>
                <w:bottom w:val="none" w:sz="0" w:space="0" w:color="auto"/>
                <w:right w:val="none" w:sz="0" w:space="0" w:color="auto"/>
              </w:divBdr>
            </w:div>
            <w:div w:id="19280507">
              <w:marLeft w:val="0"/>
              <w:marRight w:val="0"/>
              <w:marTop w:val="0"/>
              <w:marBottom w:val="0"/>
              <w:divBdr>
                <w:top w:val="none" w:sz="0" w:space="0" w:color="auto"/>
                <w:left w:val="none" w:sz="0" w:space="0" w:color="auto"/>
                <w:bottom w:val="none" w:sz="0" w:space="0" w:color="auto"/>
                <w:right w:val="none" w:sz="0" w:space="0" w:color="auto"/>
              </w:divBdr>
            </w:div>
            <w:div w:id="630400697">
              <w:marLeft w:val="0"/>
              <w:marRight w:val="0"/>
              <w:marTop w:val="0"/>
              <w:marBottom w:val="0"/>
              <w:divBdr>
                <w:top w:val="none" w:sz="0" w:space="0" w:color="auto"/>
                <w:left w:val="none" w:sz="0" w:space="0" w:color="auto"/>
                <w:bottom w:val="none" w:sz="0" w:space="0" w:color="auto"/>
                <w:right w:val="none" w:sz="0" w:space="0" w:color="auto"/>
              </w:divBdr>
            </w:div>
            <w:div w:id="187913898">
              <w:marLeft w:val="0"/>
              <w:marRight w:val="0"/>
              <w:marTop w:val="0"/>
              <w:marBottom w:val="0"/>
              <w:divBdr>
                <w:top w:val="none" w:sz="0" w:space="0" w:color="auto"/>
                <w:left w:val="none" w:sz="0" w:space="0" w:color="auto"/>
                <w:bottom w:val="none" w:sz="0" w:space="0" w:color="auto"/>
                <w:right w:val="none" w:sz="0" w:space="0" w:color="auto"/>
              </w:divBdr>
            </w:div>
            <w:div w:id="1239364835">
              <w:marLeft w:val="0"/>
              <w:marRight w:val="0"/>
              <w:marTop w:val="0"/>
              <w:marBottom w:val="0"/>
              <w:divBdr>
                <w:top w:val="none" w:sz="0" w:space="0" w:color="auto"/>
                <w:left w:val="none" w:sz="0" w:space="0" w:color="auto"/>
                <w:bottom w:val="none" w:sz="0" w:space="0" w:color="auto"/>
                <w:right w:val="none" w:sz="0" w:space="0" w:color="auto"/>
              </w:divBdr>
            </w:div>
          </w:divsChild>
        </w:div>
        <w:div w:id="522522713">
          <w:marLeft w:val="0"/>
          <w:marRight w:val="0"/>
          <w:marTop w:val="0"/>
          <w:marBottom w:val="0"/>
          <w:divBdr>
            <w:top w:val="none" w:sz="0" w:space="0" w:color="auto"/>
            <w:left w:val="none" w:sz="0" w:space="0" w:color="auto"/>
            <w:bottom w:val="none" w:sz="0" w:space="0" w:color="auto"/>
            <w:right w:val="none" w:sz="0" w:space="0" w:color="auto"/>
          </w:divBdr>
          <w:divsChild>
            <w:div w:id="753820436">
              <w:marLeft w:val="0"/>
              <w:marRight w:val="0"/>
              <w:marTop w:val="0"/>
              <w:marBottom w:val="0"/>
              <w:divBdr>
                <w:top w:val="none" w:sz="0" w:space="0" w:color="auto"/>
                <w:left w:val="none" w:sz="0" w:space="0" w:color="auto"/>
                <w:bottom w:val="none" w:sz="0" w:space="0" w:color="auto"/>
                <w:right w:val="none" w:sz="0" w:space="0" w:color="auto"/>
              </w:divBdr>
            </w:div>
          </w:divsChild>
        </w:div>
        <w:div w:id="1414811392">
          <w:marLeft w:val="0"/>
          <w:marRight w:val="0"/>
          <w:marTop w:val="0"/>
          <w:marBottom w:val="0"/>
          <w:divBdr>
            <w:top w:val="none" w:sz="0" w:space="0" w:color="auto"/>
            <w:left w:val="none" w:sz="0" w:space="0" w:color="auto"/>
            <w:bottom w:val="none" w:sz="0" w:space="0" w:color="auto"/>
            <w:right w:val="none" w:sz="0" w:space="0" w:color="auto"/>
          </w:divBdr>
          <w:divsChild>
            <w:div w:id="1075207808">
              <w:marLeft w:val="0"/>
              <w:marRight w:val="0"/>
              <w:marTop w:val="0"/>
              <w:marBottom w:val="0"/>
              <w:divBdr>
                <w:top w:val="none" w:sz="0" w:space="0" w:color="auto"/>
                <w:left w:val="none" w:sz="0" w:space="0" w:color="auto"/>
                <w:bottom w:val="none" w:sz="0" w:space="0" w:color="auto"/>
                <w:right w:val="none" w:sz="0" w:space="0" w:color="auto"/>
              </w:divBdr>
            </w:div>
            <w:div w:id="1886409160">
              <w:marLeft w:val="0"/>
              <w:marRight w:val="0"/>
              <w:marTop w:val="0"/>
              <w:marBottom w:val="0"/>
              <w:divBdr>
                <w:top w:val="none" w:sz="0" w:space="0" w:color="auto"/>
                <w:left w:val="none" w:sz="0" w:space="0" w:color="auto"/>
                <w:bottom w:val="none" w:sz="0" w:space="0" w:color="auto"/>
                <w:right w:val="none" w:sz="0" w:space="0" w:color="auto"/>
              </w:divBdr>
            </w:div>
            <w:div w:id="1931229759">
              <w:marLeft w:val="0"/>
              <w:marRight w:val="0"/>
              <w:marTop w:val="0"/>
              <w:marBottom w:val="0"/>
              <w:divBdr>
                <w:top w:val="none" w:sz="0" w:space="0" w:color="auto"/>
                <w:left w:val="none" w:sz="0" w:space="0" w:color="auto"/>
                <w:bottom w:val="none" w:sz="0" w:space="0" w:color="auto"/>
                <w:right w:val="none" w:sz="0" w:space="0" w:color="auto"/>
              </w:divBdr>
            </w:div>
            <w:div w:id="722218766">
              <w:marLeft w:val="0"/>
              <w:marRight w:val="0"/>
              <w:marTop w:val="0"/>
              <w:marBottom w:val="0"/>
              <w:divBdr>
                <w:top w:val="none" w:sz="0" w:space="0" w:color="auto"/>
                <w:left w:val="none" w:sz="0" w:space="0" w:color="auto"/>
                <w:bottom w:val="none" w:sz="0" w:space="0" w:color="auto"/>
                <w:right w:val="none" w:sz="0" w:space="0" w:color="auto"/>
              </w:divBdr>
            </w:div>
          </w:divsChild>
        </w:div>
        <w:div w:id="1034771535">
          <w:marLeft w:val="0"/>
          <w:marRight w:val="0"/>
          <w:marTop w:val="0"/>
          <w:marBottom w:val="0"/>
          <w:divBdr>
            <w:top w:val="none" w:sz="0" w:space="0" w:color="auto"/>
            <w:left w:val="none" w:sz="0" w:space="0" w:color="auto"/>
            <w:bottom w:val="none" w:sz="0" w:space="0" w:color="auto"/>
            <w:right w:val="none" w:sz="0" w:space="0" w:color="auto"/>
          </w:divBdr>
          <w:divsChild>
            <w:div w:id="1652054877">
              <w:marLeft w:val="0"/>
              <w:marRight w:val="0"/>
              <w:marTop w:val="0"/>
              <w:marBottom w:val="0"/>
              <w:divBdr>
                <w:top w:val="none" w:sz="0" w:space="0" w:color="auto"/>
                <w:left w:val="none" w:sz="0" w:space="0" w:color="auto"/>
                <w:bottom w:val="none" w:sz="0" w:space="0" w:color="auto"/>
                <w:right w:val="none" w:sz="0" w:space="0" w:color="auto"/>
              </w:divBdr>
            </w:div>
            <w:div w:id="699472654">
              <w:marLeft w:val="0"/>
              <w:marRight w:val="0"/>
              <w:marTop w:val="0"/>
              <w:marBottom w:val="0"/>
              <w:divBdr>
                <w:top w:val="none" w:sz="0" w:space="0" w:color="auto"/>
                <w:left w:val="none" w:sz="0" w:space="0" w:color="auto"/>
                <w:bottom w:val="none" w:sz="0" w:space="0" w:color="auto"/>
                <w:right w:val="none" w:sz="0" w:space="0" w:color="auto"/>
              </w:divBdr>
            </w:div>
            <w:div w:id="127552929">
              <w:marLeft w:val="0"/>
              <w:marRight w:val="0"/>
              <w:marTop w:val="0"/>
              <w:marBottom w:val="0"/>
              <w:divBdr>
                <w:top w:val="none" w:sz="0" w:space="0" w:color="auto"/>
                <w:left w:val="none" w:sz="0" w:space="0" w:color="auto"/>
                <w:bottom w:val="none" w:sz="0" w:space="0" w:color="auto"/>
                <w:right w:val="none" w:sz="0" w:space="0" w:color="auto"/>
              </w:divBdr>
            </w:div>
            <w:div w:id="828012807">
              <w:marLeft w:val="0"/>
              <w:marRight w:val="0"/>
              <w:marTop w:val="0"/>
              <w:marBottom w:val="0"/>
              <w:divBdr>
                <w:top w:val="none" w:sz="0" w:space="0" w:color="auto"/>
                <w:left w:val="none" w:sz="0" w:space="0" w:color="auto"/>
                <w:bottom w:val="none" w:sz="0" w:space="0" w:color="auto"/>
                <w:right w:val="none" w:sz="0" w:space="0" w:color="auto"/>
              </w:divBdr>
            </w:div>
          </w:divsChild>
        </w:div>
        <w:div w:id="727069941">
          <w:marLeft w:val="0"/>
          <w:marRight w:val="0"/>
          <w:marTop w:val="0"/>
          <w:marBottom w:val="0"/>
          <w:divBdr>
            <w:top w:val="none" w:sz="0" w:space="0" w:color="auto"/>
            <w:left w:val="none" w:sz="0" w:space="0" w:color="auto"/>
            <w:bottom w:val="none" w:sz="0" w:space="0" w:color="auto"/>
            <w:right w:val="none" w:sz="0" w:space="0" w:color="auto"/>
          </w:divBdr>
          <w:divsChild>
            <w:div w:id="2026978055">
              <w:marLeft w:val="0"/>
              <w:marRight w:val="0"/>
              <w:marTop w:val="0"/>
              <w:marBottom w:val="0"/>
              <w:divBdr>
                <w:top w:val="none" w:sz="0" w:space="0" w:color="auto"/>
                <w:left w:val="none" w:sz="0" w:space="0" w:color="auto"/>
                <w:bottom w:val="none" w:sz="0" w:space="0" w:color="auto"/>
                <w:right w:val="none" w:sz="0" w:space="0" w:color="auto"/>
              </w:divBdr>
            </w:div>
            <w:div w:id="626474994">
              <w:marLeft w:val="0"/>
              <w:marRight w:val="0"/>
              <w:marTop w:val="0"/>
              <w:marBottom w:val="0"/>
              <w:divBdr>
                <w:top w:val="none" w:sz="0" w:space="0" w:color="auto"/>
                <w:left w:val="none" w:sz="0" w:space="0" w:color="auto"/>
                <w:bottom w:val="none" w:sz="0" w:space="0" w:color="auto"/>
                <w:right w:val="none" w:sz="0" w:space="0" w:color="auto"/>
              </w:divBdr>
            </w:div>
            <w:div w:id="1317687533">
              <w:marLeft w:val="0"/>
              <w:marRight w:val="0"/>
              <w:marTop w:val="0"/>
              <w:marBottom w:val="0"/>
              <w:divBdr>
                <w:top w:val="none" w:sz="0" w:space="0" w:color="auto"/>
                <w:left w:val="none" w:sz="0" w:space="0" w:color="auto"/>
                <w:bottom w:val="none" w:sz="0" w:space="0" w:color="auto"/>
                <w:right w:val="none" w:sz="0" w:space="0" w:color="auto"/>
              </w:divBdr>
            </w:div>
            <w:div w:id="1045831758">
              <w:marLeft w:val="0"/>
              <w:marRight w:val="0"/>
              <w:marTop w:val="0"/>
              <w:marBottom w:val="0"/>
              <w:divBdr>
                <w:top w:val="none" w:sz="0" w:space="0" w:color="auto"/>
                <w:left w:val="none" w:sz="0" w:space="0" w:color="auto"/>
                <w:bottom w:val="none" w:sz="0" w:space="0" w:color="auto"/>
                <w:right w:val="none" w:sz="0" w:space="0" w:color="auto"/>
              </w:divBdr>
            </w:div>
            <w:div w:id="1436630351">
              <w:marLeft w:val="0"/>
              <w:marRight w:val="0"/>
              <w:marTop w:val="0"/>
              <w:marBottom w:val="0"/>
              <w:divBdr>
                <w:top w:val="none" w:sz="0" w:space="0" w:color="auto"/>
                <w:left w:val="none" w:sz="0" w:space="0" w:color="auto"/>
                <w:bottom w:val="none" w:sz="0" w:space="0" w:color="auto"/>
                <w:right w:val="none" w:sz="0" w:space="0" w:color="auto"/>
              </w:divBdr>
            </w:div>
          </w:divsChild>
        </w:div>
        <w:div w:id="1121845939">
          <w:marLeft w:val="0"/>
          <w:marRight w:val="0"/>
          <w:marTop w:val="0"/>
          <w:marBottom w:val="0"/>
          <w:divBdr>
            <w:top w:val="none" w:sz="0" w:space="0" w:color="auto"/>
            <w:left w:val="none" w:sz="0" w:space="0" w:color="auto"/>
            <w:bottom w:val="none" w:sz="0" w:space="0" w:color="auto"/>
            <w:right w:val="none" w:sz="0" w:space="0" w:color="auto"/>
          </w:divBdr>
          <w:divsChild>
            <w:div w:id="1049766249">
              <w:marLeft w:val="0"/>
              <w:marRight w:val="0"/>
              <w:marTop w:val="0"/>
              <w:marBottom w:val="0"/>
              <w:divBdr>
                <w:top w:val="none" w:sz="0" w:space="0" w:color="auto"/>
                <w:left w:val="none" w:sz="0" w:space="0" w:color="auto"/>
                <w:bottom w:val="none" w:sz="0" w:space="0" w:color="auto"/>
                <w:right w:val="none" w:sz="0" w:space="0" w:color="auto"/>
              </w:divBdr>
            </w:div>
          </w:divsChild>
        </w:div>
        <w:div w:id="36511986">
          <w:marLeft w:val="0"/>
          <w:marRight w:val="0"/>
          <w:marTop w:val="0"/>
          <w:marBottom w:val="0"/>
          <w:divBdr>
            <w:top w:val="none" w:sz="0" w:space="0" w:color="auto"/>
            <w:left w:val="none" w:sz="0" w:space="0" w:color="auto"/>
            <w:bottom w:val="none" w:sz="0" w:space="0" w:color="auto"/>
            <w:right w:val="none" w:sz="0" w:space="0" w:color="auto"/>
          </w:divBdr>
          <w:divsChild>
            <w:div w:id="3623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3066">
      <w:bodyDiv w:val="1"/>
      <w:marLeft w:val="0"/>
      <w:marRight w:val="0"/>
      <w:marTop w:val="0"/>
      <w:marBottom w:val="0"/>
      <w:divBdr>
        <w:top w:val="none" w:sz="0" w:space="0" w:color="auto"/>
        <w:left w:val="none" w:sz="0" w:space="0" w:color="auto"/>
        <w:bottom w:val="none" w:sz="0" w:space="0" w:color="auto"/>
        <w:right w:val="none" w:sz="0" w:space="0" w:color="auto"/>
      </w:divBdr>
    </w:div>
    <w:div w:id="1855992560">
      <w:bodyDiv w:val="1"/>
      <w:marLeft w:val="0"/>
      <w:marRight w:val="0"/>
      <w:marTop w:val="0"/>
      <w:marBottom w:val="0"/>
      <w:divBdr>
        <w:top w:val="none" w:sz="0" w:space="0" w:color="auto"/>
        <w:left w:val="none" w:sz="0" w:space="0" w:color="auto"/>
        <w:bottom w:val="none" w:sz="0" w:space="0" w:color="auto"/>
        <w:right w:val="none" w:sz="0" w:space="0" w:color="auto"/>
      </w:divBdr>
      <w:divsChild>
        <w:div w:id="2123307226">
          <w:marLeft w:val="0"/>
          <w:marRight w:val="0"/>
          <w:marTop w:val="0"/>
          <w:marBottom w:val="0"/>
          <w:divBdr>
            <w:top w:val="none" w:sz="0" w:space="0" w:color="auto"/>
            <w:left w:val="none" w:sz="0" w:space="0" w:color="auto"/>
            <w:bottom w:val="none" w:sz="0" w:space="0" w:color="auto"/>
            <w:right w:val="none" w:sz="0" w:space="0" w:color="auto"/>
          </w:divBdr>
          <w:divsChild>
            <w:div w:id="462578808">
              <w:marLeft w:val="0"/>
              <w:marRight w:val="0"/>
              <w:marTop w:val="0"/>
              <w:marBottom w:val="0"/>
              <w:divBdr>
                <w:top w:val="none" w:sz="0" w:space="0" w:color="auto"/>
                <w:left w:val="none" w:sz="0" w:space="0" w:color="auto"/>
                <w:bottom w:val="none" w:sz="0" w:space="0" w:color="auto"/>
                <w:right w:val="none" w:sz="0" w:space="0" w:color="auto"/>
              </w:divBdr>
            </w:div>
          </w:divsChild>
        </w:div>
        <w:div w:id="772750143">
          <w:marLeft w:val="0"/>
          <w:marRight w:val="0"/>
          <w:marTop w:val="0"/>
          <w:marBottom w:val="0"/>
          <w:divBdr>
            <w:top w:val="none" w:sz="0" w:space="0" w:color="auto"/>
            <w:left w:val="none" w:sz="0" w:space="0" w:color="auto"/>
            <w:bottom w:val="none" w:sz="0" w:space="0" w:color="auto"/>
            <w:right w:val="none" w:sz="0" w:space="0" w:color="auto"/>
          </w:divBdr>
          <w:divsChild>
            <w:div w:id="1983609088">
              <w:marLeft w:val="0"/>
              <w:marRight w:val="0"/>
              <w:marTop w:val="0"/>
              <w:marBottom w:val="0"/>
              <w:divBdr>
                <w:top w:val="none" w:sz="0" w:space="0" w:color="auto"/>
                <w:left w:val="none" w:sz="0" w:space="0" w:color="auto"/>
                <w:bottom w:val="none" w:sz="0" w:space="0" w:color="auto"/>
                <w:right w:val="none" w:sz="0" w:space="0" w:color="auto"/>
              </w:divBdr>
            </w:div>
          </w:divsChild>
        </w:div>
        <w:div w:id="215313908">
          <w:marLeft w:val="0"/>
          <w:marRight w:val="0"/>
          <w:marTop w:val="0"/>
          <w:marBottom w:val="0"/>
          <w:divBdr>
            <w:top w:val="none" w:sz="0" w:space="0" w:color="auto"/>
            <w:left w:val="none" w:sz="0" w:space="0" w:color="auto"/>
            <w:bottom w:val="none" w:sz="0" w:space="0" w:color="auto"/>
            <w:right w:val="none" w:sz="0" w:space="0" w:color="auto"/>
          </w:divBdr>
          <w:divsChild>
            <w:div w:id="1801220941">
              <w:marLeft w:val="0"/>
              <w:marRight w:val="0"/>
              <w:marTop w:val="0"/>
              <w:marBottom w:val="0"/>
              <w:divBdr>
                <w:top w:val="none" w:sz="0" w:space="0" w:color="auto"/>
                <w:left w:val="none" w:sz="0" w:space="0" w:color="auto"/>
                <w:bottom w:val="none" w:sz="0" w:space="0" w:color="auto"/>
                <w:right w:val="none" w:sz="0" w:space="0" w:color="auto"/>
              </w:divBdr>
            </w:div>
          </w:divsChild>
        </w:div>
        <w:div w:id="1704747785">
          <w:marLeft w:val="0"/>
          <w:marRight w:val="0"/>
          <w:marTop w:val="0"/>
          <w:marBottom w:val="0"/>
          <w:divBdr>
            <w:top w:val="none" w:sz="0" w:space="0" w:color="auto"/>
            <w:left w:val="none" w:sz="0" w:space="0" w:color="auto"/>
            <w:bottom w:val="none" w:sz="0" w:space="0" w:color="auto"/>
            <w:right w:val="none" w:sz="0" w:space="0" w:color="auto"/>
          </w:divBdr>
          <w:divsChild>
            <w:div w:id="1287615916">
              <w:marLeft w:val="0"/>
              <w:marRight w:val="0"/>
              <w:marTop w:val="0"/>
              <w:marBottom w:val="0"/>
              <w:divBdr>
                <w:top w:val="none" w:sz="0" w:space="0" w:color="auto"/>
                <w:left w:val="none" w:sz="0" w:space="0" w:color="auto"/>
                <w:bottom w:val="none" w:sz="0" w:space="0" w:color="auto"/>
                <w:right w:val="none" w:sz="0" w:space="0" w:color="auto"/>
              </w:divBdr>
            </w:div>
          </w:divsChild>
        </w:div>
        <w:div w:id="1215505325">
          <w:marLeft w:val="0"/>
          <w:marRight w:val="0"/>
          <w:marTop w:val="0"/>
          <w:marBottom w:val="0"/>
          <w:divBdr>
            <w:top w:val="none" w:sz="0" w:space="0" w:color="auto"/>
            <w:left w:val="none" w:sz="0" w:space="0" w:color="auto"/>
            <w:bottom w:val="none" w:sz="0" w:space="0" w:color="auto"/>
            <w:right w:val="none" w:sz="0" w:space="0" w:color="auto"/>
          </w:divBdr>
          <w:divsChild>
            <w:div w:id="2081437658">
              <w:marLeft w:val="0"/>
              <w:marRight w:val="0"/>
              <w:marTop w:val="0"/>
              <w:marBottom w:val="0"/>
              <w:divBdr>
                <w:top w:val="none" w:sz="0" w:space="0" w:color="auto"/>
                <w:left w:val="none" w:sz="0" w:space="0" w:color="auto"/>
                <w:bottom w:val="none" w:sz="0" w:space="0" w:color="auto"/>
                <w:right w:val="none" w:sz="0" w:space="0" w:color="auto"/>
              </w:divBdr>
            </w:div>
          </w:divsChild>
        </w:div>
        <w:div w:id="1656687969">
          <w:marLeft w:val="0"/>
          <w:marRight w:val="0"/>
          <w:marTop w:val="0"/>
          <w:marBottom w:val="0"/>
          <w:divBdr>
            <w:top w:val="none" w:sz="0" w:space="0" w:color="auto"/>
            <w:left w:val="none" w:sz="0" w:space="0" w:color="auto"/>
            <w:bottom w:val="none" w:sz="0" w:space="0" w:color="auto"/>
            <w:right w:val="none" w:sz="0" w:space="0" w:color="auto"/>
          </w:divBdr>
          <w:divsChild>
            <w:div w:id="1035734071">
              <w:marLeft w:val="0"/>
              <w:marRight w:val="0"/>
              <w:marTop w:val="0"/>
              <w:marBottom w:val="0"/>
              <w:divBdr>
                <w:top w:val="none" w:sz="0" w:space="0" w:color="auto"/>
                <w:left w:val="none" w:sz="0" w:space="0" w:color="auto"/>
                <w:bottom w:val="none" w:sz="0" w:space="0" w:color="auto"/>
                <w:right w:val="none" w:sz="0" w:space="0" w:color="auto"/>
              </w:divBdr>
            </w:div>
            <w:div w:id="378555975">
              <w:marLeft w:val="0"/>
              <w:marRight w:val="0"/>
              <w:marTop w:val="0"/>
              <w:marBottom w:val="0"/>
              <w:divBdr>
                <w:top w:val="none" w:sz="0" w:space="0" w:color="auto"/>
                <w:left w:val="none" w:sz="0" w:space="0" w:color="auto"/>
                <w:bottom w:val="none" w:sz="0" w:space="0" w:color="auto"/>
                <w:right w:val="none" w:sz="0" w:space="0" w:color="auto"/>
              </w:divBdr>
            </w:div>
            <w:div w:id="443310760">
              <w:marLeft w:val="0"/>
              <w:marRight w:val="0"/>
              <w:marTop w:val="0"/>
              <w:marBottom w:val="0"/>
              <w:divBdr>
                <w:top w:val="none" w:sz="0" w:space="0" w:color="auto"/>
                <w:left w:val="none" w:sz="0" w:space="0" w:color="auto"/>
                <w:bottom w:val="none" w:sz="0" w:space="0" w:color="auto"/>
                <w:right w:val="none" w:sz="0" w:space="0" w:color="auto"/>
              </w:divBdr>
            </w:div>
            <w:div w:id="1751809825">
              <w:marLeft w:val="0"/>
              <w:marRight w:val="0"/>
              <w:marTop w:val="0"/>
              <w:marBottom w:val="0"/>
              <w:divBdr>
                <w:top w:val="none" w:sz="0" w:space="0" w:color="auto"/>
                <w:left w:val="none" w:sz="0" w:space="0" w:color="auto"/>
                <w:bottom w:val="none" w:sz="0" w:space="0" w:color="auto"/>
                <w:right w:val="none" w:sz="0" w:space="0" w:color="auto"/>
              </w:divBdr>
            </w:div>
            <w:div w:id="1407216796">
              <w:marLeft w:val="0"/>
              <w:marRight w:val="0"/>
              <w:marTop w:val="0"/>
              <w:marBottom w:val="0"/>
              <w:divBdr>
                <w:top w:val="none" w:sz="0" w:space="0" w:color="auto"/>
                <w:left w:val="none" w:sz="0" w:space="0" w:color="auto"/>
                <w:bottom w:val="none" w:sz="0" w:space="0" w:color="auto"/>
                <w:right w:val="none" w:sz="0" w:space="0" w:color="auto"/>
              </w:divBdr>
            </w:div>
            <w:div w:id="1384714217">
              <w:marLeft w:val="0"/>
              <w:marRight w:val="0"/>
              <w:marTop w:val="0"/>
              <w:marBottom w:val="0"/>
              <w:divBdr>
                <w:top w:val="none" w:sz="0" w:space="0" w:color="auto"/>
                <w:left w:val="none" w:sz="0" w:space="0" w:color="auto"/>
                <w:bottom w:val="none" w:sz="0" w:space="0" w:color="auto"/>
                <w:right w:val="none" w:sz="0" w:space="0" w:color="auto"/>
              </w:divBdr>
            </w:div>
          </w:divsChild>
        </w:div>
        <w:div w:id="2144958630">
          <w:marLeft w:val="0"/>
          <w:marRight w:val="0"/>
          <w:marTop w:val="0"/>
          <w:marBottom w:val="0"/>
          <w:divBdr>
            <w:top w:val="none" w:sz="0" w:space="0" w:color="auto"/>
            <w:left w:val="none" w:sz="0" w:space="0" w:color="auto"/>
            <w:bottom w:val="none" w:sz="0" w:space="0" w:color="auto"/>
            <w:right w:val="none" w:sz="0" w:space="0" w:color="auto"/>
          </w:divBdr>
          <w:divsChild>
            <w:div w:id="1271470182">
              <w:marLeft w:val="0"/>
              <w:marRight w:val="0"/>
              <w:marTop w:val="0"/>
              <w:marBottom w:val="0"/>
              <w:divBdr>
                <w:top w:val="none" w:sz="0" w:space="0" w:color="auto"/>
                <w:left w:val="none" w:sz="0" w:space="0" w:color="auto"/>
                <w:bottom w:val="none" w:sz="0" w:space="0" w:color="auto"/>
                <w:right w:val="none" w:sz="0" w:space="0" w:color="auto"/>
              </w:divBdr>
            </w:div>
          </w:divsChild>
        </w:div>
        <w:div w:id="275453483">
          <w:marLeft w:val="0"/>
          <w:marRight w:val="0"/>
          <w:marTop w:val="0"/>
          <w:marBottom w:val="0"/>
          <w:divBdr>
            <w:top w:val="none" w:sz="0" w:space="0" w:color="auto"/>
            <w:left w:val="none" w:sz="0" w:space="0" w:color="auto"/>
            <w:bottom w:val="none" w:sz="0" w:space="0" w:color="auto"/>
            <w:right w:val="none" w:sz="0" w:space="0" w:color="auto"/>
          </w:divBdr>
          <w:divsChild>
            <w:div w:id="755246303">
              <w:marLeft w:val="0"/>
              <w:marRight w:val="0"/>
              <w:marTop w:val="0"/>
              <w:marBottom w:val="0"/>
              <w:divBdr>
                <w:top w:val="none" w:sz="0" w:space="0" w:color="auto"/>
                <w:left w:val="none" w:sz="0" w:space="0" w:color="auto"/>
                <w:bottom w:val="none" w:sz="0" w:space="0" w:color="auto"/>
                <w:right w:val="none" w:sz="0" w:space="0" w:color="auto"/>
              </w:divBdr>
            </w:div>
          </w:divsChild>
        </w:div>
        <w:div w:id="897547528">
          <w:marLeft w:val="0"/>
          <w:marRight w:val="0"/>
          <w:marTop w:val="0"/>
          <w:marBottom w:val="0"/>
          <w:divBdr>
            <w:top w:val="none" w:sz="0" w:space="0" w:color="auto"/>
            <w:left w:val="none" w:sz="0" w:space="0" w:color="auto"/>
            <w:bottom w:val="none" w:sz="0" w:space="0" w:color="auto"/>
            <w:right w:val="none" w:sz="0" w:space="0" w:color="auto"/>
          </w:divBdr>
          <w:divsChild>
            <w:div w:id="133718214">
              <w:marLeft w:val="0"/>
              <w:marRight w:val="0"/>
              <w:marTop w:val="0"/>
              <w:marBottom w:val="0"/>
              <w:divBdr>
                <w:top w:val="none" w:sz="0" w:space="0" w:color="auto"/>
                <w:left w:val="none" w:sz="0" w:space="0" w:color="auto"/>
                <w:bottom w:val="none" w:sz="0" w:space="0" w:color="auto"/>
                <w:right w:val="none" w:sz="0" w:space="0" w:color="auto"/>
              </w:divBdr>
            </w:div>
          </w:divsChild>
        </w:div>
        <w:div w:id="2088844626">
          <w:marLeft w:val="0"/>
          <w:marRight w:val="0"/>
          <w:marTop w:val="0"/>
          <w:marBottom w:val="0"/>
          <w:divBdr>
            <w:top w:val="none" w:sz="0" w:space="0" w:color="auto"/>
            <w:left w:val="none" w:sz="0" w:space="0" w:color="auto"/>
            <w:bottom w:val="none" w:sz="0" w:space="0" w:color="auto"/>
            <w:right w:val="none" w:sz="0" w:space="0" w:color="auto"/>
          </w:divBdr>
          <w:divsChild>
            <w:div w:id="1289779752">
              <w:marLeft w:val="0"/>
              <w:marRight w:val="0"/>
              <w:marTop w:val="0"/>
              <w:marBottom w:val="0"/>
              <w:divBdr>
                <w:top w:val="none" w:sz="0" w:space="0" w:color="auto"/>
                <w:left w:val="none" w:sz="0" w:space="0" w:color="auto"/>
                <w:bottom w:val="none" w:sz="0" w:space="0" w:color="auto"/>
                <w:right w:val="none" w:sz="0" w:space="0" w:color="auto"/>
              </w:divBdr>
            </w:div>
          </w:divsChild>
        </w:div>
        <w:div w:id="508061997">
          <w:marLeft w:val="0"/>
          <w:marRight w:val="0"/>
          <w:marTop w:val="0"/>
          <w:marBottom w:val="0"/>
          <w:divBdr>
            <w:top w:val="none" w:sz="0" w:space="0" w:color="auto"/>
            <w:left w:val="none" w:sz="0" w:space="0" w:color="auto"/>
            <w:bottom w:val="none" w:sz="0" w:space="0" w:color="auto"/>
            <w:right w:val="none" w:sz="0" w:space="0" w:color="auto"/>
          </w:divBdr>
          <w:divsChild>
            <w:div w:id="93214448">
              <w:marLeft w:val="0"/>
              <w:marRight w:val="0"/>
              <w:marTop w:val="0"/>
              <w:marBottom w:val="0"/>
              <w:divBdr>
                <w:top w:val="none" w:sz="0" w:space="0" w:color="auto"/>
                <w:left w:val="none" w:sz="0" w:space="0" w:color="auto"/>
                <w:bottom w:val="none" w:sz="0" w:space="0" w:color="auto"/>
                <w:right w:val="none" w:sz="0" w:space="0" w:color="auto"/>
              </w:divBdr>
            </w:div>
            <w:div w:id="1578247500">
              <w:marLeft w:val="0"/>
              <w:marRight w:val="0"/>
              <w:marTop w:val="0"/>
              <w:marBottom w:val="0"/>
              <w:divBdr>
                <w:top w:val="none" w:sz="0" w:space="0" w:color="auto"/>
                <w:left w:val="none" w:sz="0" w:space="0" w:color="auto"/>
                <w:bottom w:val="none" w:sz="0" w:space="0" w:color="auto"/>
                <w:right w:val="none" w:sz="0" w:space="0" w:color="auto"/>
              </w:divBdr>
            </w:div>
            <w:div w:id="1794207917">
              <w:marLeft w:val="0"/>
              <w:marRight w:val="0"/>
              <w:marTop w:val="0"/>
              <w:marBottom w:val="0"/>
              <w:divBdr>
                <w:top w:val="none" w:sz="0" w:space="0" w:color="auto"/>
                <w:left w:val="none" w:sz="0" w:space="0" w:color="auto"/>
                <w:bottom w:val="none" w:sz="0" w:space="0" w:color="auto"/>
                <w:right w:val="none" w:sz="0" w:space="0" w:color="auto"/>
              </w:divBdr>
            </w:div>
            <w:div w:id="1055158557">
              <w:marLeft w:val="0"/>
              <w:marRight w:val="0"/>
              <w:marTop w:val="0"/>
              <w:marBottom w:val="0"/>
              <w:divBdr>
                <w:top w:val="none" w:sz="0" w:space="0" w:color="auto"/>
                <w:left w:val="none" w:sz="0" w:space="0" w:color="auto"/>
                <w:bottom w:val="none" w:sz="0" w:space="0" w:color="auto"/>
                <w:right w:val="none" w:sz="0" w:space="0" w:color="auto"/>
              </w:divBdr>
            </w:div>
            <w:div w:id="2096975321">
              <w:marLeft w:val="0"/>
              <w:marRight w:val="0"/>
              <w:marTop w:val="0"/>
              <w:marBottom w:val="0"/>
              <w:divBdr>
                <w:top w:val="none" w:sz="0" w:space="0" w:color="auto"/>
                <w:left w:val="none" w:sz="0" w:space="0" w:color="auto"/>
                <w:bottom w:val="none" w:sz="0" w:space="0" w:color="auto"/>
                <w:right w:val="none" w:sz="0" w:space="0" w:color="auto"/>
              </w:divBdr>
            </w:div>
          </w:divsChild>
        </w:div>
        <w:div w:id="135879320">
          <w:marLeft w:val="0"/>
          <w:marRight w:val="0"/>
          <w:marTop w:val="0"/>
          <w:marBottom w:val="0"/>
          <w:divBdr>
            <w:top w:val="none" w:sz="0" w:space="0" w:color="auto"/>
            <w:left w:val="none" w:sz="0" w:space="0" w:color="auto"/>
            <w:bottom w:val="none" w:sz="0" w:space="0" w:color="auto"/>
            <w:right w:val="none" w:sz="0" w:space="0" w:color="auto"/>
          </w:divBdr>
          <w:divsChild>
            <w:div w:id="2081323507">
              <w:marLeft w:val="0"/>
              <w:marRight w:val="0"/>
              <w:marTop w:val="0"/>
              <w:marBottom w:val="0"/>
              <w:divBdr>
                <w:top w:val="none" w:sz="0" w:space="0" w:color="auto"/>
                <w:left w:val="none" w:sz="0" w:space="0" w:color="auto"/>
                <w:bottom w:val="none" w:sz="0" w:space="0" w:color="auto"/>
                <w:right w:val="none" w:sz="0" w:space="0" w:color="auto"/>
              </w:divBdr>
            </w:div>
          </w:divsChild>
        </w:div>
        <w:div w:id="25833372">
          <w:marLeft w:val="0"/>
          <w:marRight w:val="0"/>
          <w:marTop w:val="0"/>
          <w:marBottom w:val="0"/>
          <w:divBdr>
            <w:top w:val="none" w:sz="0" w:space="0" w:color="auto"/>
            <w:left w:val="none" w:sz="0" w:space="0" w:color="auto"/>
            <w:bottom w:val="none" w:sz="0" w:space="0" w:color="auto"/>
            <w:right w:val="none" w:sz="0" w:space="0" w:color="auto"/>
          </w:divBdr>
          <w:divsChild>
            <w:div w:id="262303080">
              <w:marLeft w:val="0"/>
              <w:marRight w:val="0"/>
              <w:marTop w:val="0"/>
              <w:marBottom w:val="0"/>
              <w:divBdr>
                <w:top w:val="none" w:sz="0" w:space="0" w:color="auto"/>
                <w:left w:val="none" w:sz="0" w:space="0" w:color="auto"/>
                <w:bottom w:val="none" w:sz="0" w:space="0" w:color="auto"/>
                <w:right w:val="none" w:sz="0" w:space="0" w:color="auto"/>
              </w:divBdr>
            </w:div>
            <w:div w:id="1169060924">
              <w:marLeft w:val="0"/>
              <w:marRight w:val="0"/>
              <w:marTop w:val="0"/>
              <w:marBottom w:val="0"/>
              <w:divBdr>
                <w:top w:val="none" w:sz="0" w:space="0" w:color="auto"/>
                <w:left w:val="none" w:sz="0" w:space="0" w:color="auto"/>
                <w:bottom w:val="none" w:sz="0" w:space="0" w:color="auto"/>
                <w:right w:val="none" w:sz="0" w:space="0" w:color="auto"/>
              </w:divBdr>
            </w:div>
            <w:div w:id="1238056440">
              <w:marLeft w:val="0"/>
              <w:marRight w:val="0"/>
              <w:marTop w:val="0"/>
              <w:marBottom w:val="0"/>
              <w:divBdr>
                <w:top w:val="none" w:sz="0" w:space="0" w:color="auto"/>
                <w:left w:val="none" w:sz="0" w:space="0" w:color="auto"/>
                <w:bottom w:val="none" w:sz="0" w:space="0" w:color="auto"/>
                <w:right w:val="none" w:sz="0" w:space="0" w:color="auto"/>
              </w:divBdr>
            </w:div>
            <w:div w:id="1547175836">
              <w:marLeft w:val="0"/>
              <w:marRight w:val="0"/>
              <w:marTop w:val="0"/>
              <w:marBottom w:val="0"/>
              <w:divBdr>
                <w:top w:val="none" w:sz="0" w:space="0" w:color="auto"/>
                <w:left w:val="none" w:sz="0" w:space="0" w:color="auto"/>
                <w:bottom w:val="none" w:sz="0" w:space="0" w:color="auto"/>
                <w:right w:val="none" w:sz="0" w:space="0" w:color="auto"/>
              </w:divBdr>
            </w:div>
            <w:div w:id="1977680893">
              <w:marLeft w:val="0"/>
              <w:marRight w:val="0"/>
              <w:marTop w:val="0"/>
              <w:marBottom w:val="0"/>
              <w:divBdr>
                <w:top w:val="none" w:sz="0" w:space="0" w:color="auto"/>
                <w:left w:val="none" w:sz="0" w:space="0" w:color="auto"/>
                <w:bottom w:val="none" w:sz="0" w:space="0" w:color="auto"/>
                <w:right w:val="none" w:sz="0" w:space="0" w:color="auto"/>
              </w:divBdr>
            </w:div>
          </w:divsChild>
        </w:div>
        <w:div w:id="1608200242">
          <w:marLeft w:val="0"/>
          <w:marRight w:val="0"/>
          <w:marTop w:val="0"/>
          <w:marBottom w:val="0"/>
          <w:divBdr>
            <w:top w:val="none" w:sz="0" w:space="0" w:color="auto"/>
            <w:left w:val="none" w:sz="0" w:space="0" w:color="auto"/>
            <w:bottom w:val="none" w:sz="0" w:space="0" w:color="auto"/>
            <w:right w:val="none" w:sz="0" w:space="0" w:color="auto"/>
          </w:divBdr>
          <w:divsChild>
            <w:div w:id="623466626">
              <w:marLeft w:val="0"/>
              <w:marRight w:val="0"/>
              <w:marTop w:val="0"/>
              <w:marBottom w:val="0"/>
              <w:divBdr>
                <w:top w:val="none" w:sz="0" w:space="0" w:color="auto"/>
                <w:left w:val="none" w:sz="0" w:space="0" w:color="auto"/>
                <w:bottom w:val="none" w:sz="0" w:space="0" w:color="auto"/>
                <w:right w:val="none" w:sz="0" w:space="0" w:color="auto"/>
              </w:divBdr>
            </w:div>
            <w:div w:id="678312223">
              <w:marLeft w:val="0"/>
              <w:marRight w:val="0"/>
              <w:marTop w:val="0"/>
              <w:marBottom w:val="0"/>
              <w:divBdr>
                <w:top w:val="none" w:sz="0" w:space="0" w:color="auto"/>
                <w:left w:val="none" w:sz="0" w:space="0" w:color="auto"/>
                <w:bottom w:val="none" w:sz="0" w:space="0" w:color="auto"/>
                <w:right w:val="none" w:sz="0" w:space="0" w:color="auto"/>
              </w:divBdr>
            </w:div>
            <w:div w:id="484518115">
              <w:marLeft w:val="0"/>
              <w:marRight w:val="0"/>
              <w:marTop w:val="0"/>
              <w:marBottom w:val="0"/>
              <w:divBdr>
                <w:top w:val="none" w:sz="0" w:space="0" w:color="auto"/>
                <w:left w:val="none" w:sz="0" w:space="0" w:color="auto"/>
                <w:bottom w:val="none" w:sz="0" w:space="0" w:color="auto"/>
                <w:right w:val="none" w:sz="0" w:space="0" w:color="auto"/>
              </w:divBdr>
            </w:div>
            <w:div w:id="261646574">
              <w:marLeft w:val="0"/>
              <w:marRight w:val="0"/>
              <w:marTop w:val="0"/>
              <w:marBottom w:val="0"/>
              <w:divBdr>
                <w:top w:val="none" w:sz="0" w:space="0" w:color="auto"/>
                <w:left w:val="none" w:sz="0" w:space="0" w:color="auto"/>
                <w:bottom w:val="none" w:sz="0" w:space="0" w:color="auto"/>
                <w:right w:val="none" w:sz="0" w:space="0" w:color="auto"/>
              </w:divBdr>
            </w:div>
            <w:div w:id="692345142">
              <w:marLeft w:val="0"/>
              <w:marRight w:val="0"/>
              <w:marTop w:val="0"/>
              <w:marBottom w:val="0"/>
              <w:divBdr>
                <w:top w:val="none" w:sz="0" w:space="0" w:color="auto"/>
                <w:left w:val="none" w:sz="0" w:space="0" w:color="auto"/>
                <w:bottom w:val="none" w:sz="0" w:space="0" w:color="auto"/>
                <w:right w:val="none" w:sz="0" w:space="0" w:color="auto"/>
              </w:divBdr>
            </w:div>
            <w:div w:id="351297564">
              <w:marLeft w:val="0"/>
              <w:marRight w:val="0"/>
              <w:marTop w:val="0"/>
              <w:marBottom w:val="0"/>
              <w:divBdr>
                <w:top w:val="none" w:sz="0" w:space="0" w:color="auto"/>
                <w:left w:val="none" w:sz="0" w:space="0" w:color="auto"/>
                <w:bottom w:val="none" w:sz="0" w:space="0" w:color="auto"/>
                <w:right w:val="none" w:sz="0" w:space="0" w:color="auto"/>
              </w:divBdr>
            </w:div>
            <w:div w:id="1056397451">
              <w:marLeft w:val="0"/>
              <w:marRight w:val="0"/>
              <w:marTop w:val="0"/>
              <w:marBottom w:val="0"/>
              <w:divBdr>
                <w:top w:val="none" w:sz="0" w:space="0" w:color="auto"/>
                <w:left w:val="none" w:sz="0" w:space="0" w:color="auto"/>
                <w:bottom w:val="none" w:sz="0" w:space="0" w:color="auto"/>
                <w:right w:val="none" w:sz="0" w:space="0" w:color="auto"/>
              </w:divBdr>
            </w:div>
            <w:div w:id="1777942299">
              <w:marLeft w:val="0"/>
              <w:marRight w:val="0"/>
              <w:marTop w:val="0"/>
              <w:marBottom w:val="0"/>
              <w:divBdr>
                <w:top w:val="none" w:sz="0" w:space="0" w:color="auto"/>
                <w:left w:val="none" w:sz="0" w:space="0" w:color="auto"/>
                <w:bottom w:val="none" w:sz="0" w:space="0" w:color="auto"/>
                <w:right w:val="none" w:sz="0" w:space="0" w:color="auto"/>
              </w:divBdr>
            </w:div>
            <w:div w:id="2102602252">
              <w:marLeft w:val="0"/>
              <w:marRight w:val="0"/>
              <w:marTop w:val="0"/>
              <w:marBottom w:val="0"/>
              <w:divBdr>
                <w:top w:val="none" w:sz="0" w:space="0" w:color="auto"/>
                <w:left w:val="none" w:sz="0" w:space="0" w:color="auto"/>
                <w:bottom w:val="none" w:sz="0" w:space="0" w:color="auto"/>
                <w:right w:val="none" w:sz="0" w:space="0" w:color="auto"/>
              </w:divBdr>
            </w:div>
            <w:div w:id="475531398">
              <w:marLeft w:val="0"/>
              <w:marRight w:val="0"/>
              <w:marTop w:val="0"/>
              <w:marBottom w:val="0"/>
              <w:divBdr>
                <w:top w:val="none" w:sz="0" w:space="0" w:color="auto"/>
                <w:left w:val="none" w:sz="0" w:space="0" w:color="auto"/>
                <w:bottom w:val="none" w:sz="0" w:space="0" w:color="auto"/>
                <w:right w:val="none" w:sz="0" w:space="0" w:color="auto"/>
              </w:divBdr>
            </w:div>
            <w:div w:id="256333219">
              <w:marLeft w:val="0"/>
              <w:marRight w:val="0"/>
              <w:marTop w:val="0"/>
              <w:marBottom w:val="0"/>
              <w:divBdr>
                <w:top w:val="none" w:sz="0" w:space="0" w:color="auto"/>
                <w:left w:val="none" w:sz="0" w:space="0" w:color="auto"/>
                <w:bottom w:val="none" w:sz="0" w:space="0" w:color="auto"/>
                <w:right w:val="none" w:sz="0" w:space="0" w:color="auto"/>
              </w:divBdr>
            </w:div>
            <w:div w:id="1963151099">
              <w:marLeft w:val="0"/>
              <w:marRight w:val="0"/>
              <w:marTop w:val="0"/>
              <w:marBottom w:val="0"/>
              <w:divBdr>
                <w:top w:val="none" w:sz="0" w:space="0" w:color="auto"/>
                <w:left w:val="none" w:sz="0" w:space="0" w:color="auto"/>
                <w:bottom w:val="none" w:sz="0" w:space="0" w:color="auto"/>
                <w:right w:val="none" w:sz="0" w:space="0" w:color="auto"/>
              </w:divBdr>
            </w:div>
            <w:div w:id="28191826">
              <w:marLeft w:val="0"/>
              <w:marRight w:val="0"/>
              <w:marTop w:val="0"/>
              <w:marBottom w:val="0"/>
              <w:divBdr>
                <w:top w:val="none" w:sz="0" w:space="0" w:color="auto"/>
                <w:left w:val="none" w:sz="0" w:space="0" w:color="auto"/>
                <w:bottom w:val="none" w:sz="0" w:space="0" w:color="auto"/>
                <w:right w:val="none" w:sz="0" w:space="0" w:color="auto"/>
              </w:divBdr>
            </w:div>
          </w:divsChild>
        </w:div>
        <w:div w:id="640427102">
          <w:marLeft w:val="0"/>
          <w:marRight w:val="0"/>
          <w:marTop w:val="0"/>
          <w:marBottom w:val="0"/>
          <w:divBdr>
            <w:top w:val="none" w:sz="0" w:space="0" w:color="auto"/>
            <w:left w:val="none" w:sz="0" w:space="0" w:color="auto"/>
            <w:bottom w:val="none" w:sz="0" w:space="0" w:color="auto"/>
            <w:right w:val="none" w:sz="0" w:space="0" w:color="auto"/>
          </w:divBdr>
          <w:divsChild>
            <w:div w:id="153183644">
              <w:marLeft w:val="0"/>
              <w:marRight w:val="0"/>
              <w:marTop w:val="0"/>
              <w:marBottom w:val="0"/>
              <w:divBdr>
                <w:top w:val="none" w:sz="0" w:space="0" w:color="auto"/>
                <w:left w:val="none" w:sz="0" w:space="0" w:color="auto"/>
                <w:bottom w:val="none" w:sz="0" w:space="0" w:color="auto"/>
                <w:right w:val="none" w:sz="0" w:space="0" w:color="auto"/>
              </w:divBdr>
            </w:div>
          </w:divsChild>
        </w:div>
        <w:div w:id="656107490">
          <w:marLeft w:val="0"/>
          <w:marRight w:val="0"/>
          <w:marTop w:val="0"/>
          <w:marBottom w:val="0"/>
          <w:divBdr>
            <w:top w:val="none" w:sz="0" w:space="0" w:color="auto"/>
            <w:left w:val="none" w:sz="0" w:space="0" w:color="auto"/>
            <w:bottom w:val="none" w:sz="0" w:space="0" w:color="auto"/>
            <w:right w:val="none" w:sz="0" w:space="0" w:color="auto"/>
          </w:divBdr>
          <w:divsChild>
            <w:div w:id="769934985">
              <w:marLeft w:val="0"/>
              <w:marRight w:val="0"/>
              <w:marTop w:val="0"/>
              <w:marBottom w:val="0"/>
              <w:divBdr>
                <w:top w:val="none" w:sz="0" w:space="0" w:color="auto"/>
                <w:left w:val="none" w:sz="0" w:space="0" w:color="auto"/>
                <w:bottom w:val="none" w:sz="0" w:space="0" w:color="auto"/>
                <w:right w:val="none" w:sz="0" w:space="0" w:color="auto"/>
              </w:divBdr>
            </w:div>
            <w:div w:id="583153543">
              <w:marLeft w:val="0"/>
              <w:marRight w:val="0"/>
              <w:marTop w:val="0"/>
              <w:marBottom w:val="0"/>
              <w:divBdr>
                <w:top w:val="none" w:sz="0" w:space="0" w:color="auto"/>
                <w:left w:val="none" w:sz="0" w:space="0" w:color="auto"/>
                <w:bottom w:val="none" w:sz="0" w:space="0" w:color="auto"/>
                <w:right w:val="none" w:sz="0" w:space="0" w:color="auto"/>
              </w:divBdr>
            </w:div>
            <w:div w:id="1397702258">
              <w:marLeft w:val="0"/>
              <w:marRight w:val="0"/>
              <w:marTop w:val="0"/>
              <w:marBottom w:val="0"/>
              <w:divBdr>
                <w:top w:val="none" w:sz="0" w:space="0" w:color="auto"/>
                <w:left w:val="none" w:sz="0" w:space="0" w:color="auto"/>
                <w:bottom w:val="none" w:sz="0" w:space="0" w:color="auto"/>
                <w:right w:val="none" w:sz="0" w:space="0" w:color="auto"/>
              </w:divBdr>
            </w:div>
            <w:div w:id="1172798554">
              <w:marLeft w:val="0"/>
              <w:marRight w:val="0"/>
              <w:marTop w:val="0"/>
              <w:marBottom w:val="0"/>
              <w:divBdr>
                <w:top w:val="none" w:sz="0" w:space="0" w:color="auto"/>
                <w:left w:val="none" w:sz="0" w:space="0" w:color="auto"/>
                <w:bottom w:val="none" w:sz="0" w:space="0" w:color="auto"/>
                <w:right w:val="none" w:sz="0" w:space="0" w:color="auto"/>
              </w:divBdr>
            </w:div>
          </w:divsChild>
        </w:div>
        <w:div w:id="1966496853">
          <w:marLeft w:val="0"/>
          <w:marRight w:val="0"/>
          <w:marTop w:val="0"/>
          <w:marBottom w:val="0"/>
          <w:divBdr>
            <w:top w:val="none" w:sz="0" w:space="0" w:color="auto"/>
            <w:left w:val="none" w:sz="0" w:space="0" w:color="auto"/>
            <w:bottom w:val="none" w:sz="0" w:space="0" w:color="auto"/>
            <w:right w:val="none" w:sz="0" w:space="0" w:color="auto"/>
          </w:divBdr>
          <w:divsChild>
            <w:div w:id="1610504702">
              <w:marLeft w:val="0"/>
              <w:marRight w:val="0"/>
              <w:marTop w:val="0"/>
              <w:marBottom w:val="0"/>
              <w:divBdr>
                <w:top w:val="none" w:sz="0" w:space="0" w:color="auto"/>
                <w:left w:val="none" w:sz="0" w:space="0" w:color="auto"/>
                <w:bottom w:val="none" w:sz="0" w:space="0" w:color="auto"/>
                <w:right w:val="none" w:sz="0" w:space="0" w:color="auto"/>
              </w:divBdr>
            </w:div>
            <w:div w:id="2125994889">
              <w:marLeft w:val="0"/>
              <w:marRight w:val="0"/>
              <w:marTop w:val="0"/>
              <w:marBottom w:val="0"/>
              <w:divBdr>
                <w:top w:val="none" w:sz="0" w:space="0" w:color="auto"/>
                <w:left w:val="none" w:sz="0" w:space="0" w:color="auto"/>
                <w:bottom w:val="none" w:sz="0" w:space="0" w:color="auto"/>
                <w:right w:val="none" w:sz="0" w:space="0" w:color="auto"/>
              </w:divBdr>
            </w:div>
          </w:divsChild>
        </w:div>
        <w:div w:id="222251784">
          <w:marLeft w:val="0"/>
          <w:marRight w:val="0"/>
          <w:marTop w:val="0"/>
          <w:marBottom w:val="0"/>
          <w:divBdr>
            <w:top w:val="none" w:sz="0" w:space="0" w:color="auto"/>
            <w:left w:val="none" w:sz="0" w:space="0" w:color="auto"/>
            <w:bottom w:val="none" w:sz="0" w:space="0" w:color="auto"/>
            <w:right w:val="none" w:sz="0" w:space="0" w:color="auto"/>
          </w:divBdr>
          <w:divsChild>
            <w:div w:id="1216504221">
              <w:marLeft w:val="0"/>
              <w:marRight w:val="0"/>
              <w:marTop w:val="0"/>
              <w:marBottom w:val="0"/>
              <w:divBdr>
                <w:top w:val="none" w:sz="0" w:space="0" w:color="auto"/>
                <w:left w:val="none" w:sz="0" w:space="0" w:color="auto"/>
                <w:bottom w:val="none" w:sz="0" w:space="0" w:color="auto"/>
                <w:right w:val="none" w:sz="0" w:space="0" w:color="auto"/>
              </w:divBdr>
            </w:div>
            <w:div w:id="1695962614">
              <w:marLeft w:val="0"/>
              <w:marRight w:val="0"/>
              <w:marTop w:val="0"/>
              <w:marBottom w:val="0"/>
              <w:divBdr>
                <w:top w:val="none" w:sz="0" w:space="0" w:color="auto"/>
                <w:left w:val="none" w:sz="0" w:space="0" w:color="auto"/>
                <w:bottom w:val="none" w:sz="0" w:space="0" w:color="auto"/>
                <w:right w:val="none" w:sz="0" w:space="0" w:color="auto"/>
              </w:divBdr>
            </w:div>
            <w:div w:id="1788622292">
              <w:marLeft w:val="0"/>
              <w:marRight w:val="0"/>
              <w:marTop w:val="0"/>
              <w:marBottom w:val="0"/>
              <w:divBdr>
                <w:top w:val="none" w:sz="0" w:space="0" w:color="auto"/>
                <w:left w:val="none" w:sz="0" w:space="0" w:color="auto"/>
                <w:bottom w:val="none" w:sz="0" w:space="0" w:color="auto"/>
                <w:right w:val="none" w:sz="0" w:space="0" w:color="auto"/>
              </w:divBdr>
            </w:div>
          </w:divsChild>
        </w:div>
        <w:div w:id="142477550">
          <w:marLeft w:val="0"/>
          <w:marRight w:val="0"/>
          <w:marTop w:val="0"/>
          <w:marBottom w:val="0"/>
          <w:divBdr>
            <w:top w:val="none" w:sz="0" w:space="0" w:color="auto"/>
            <w:left w:val="none" w:sz="0" w:space="0" w:color="auto"/>
            <w:bottom w:val="none" w:sz="0" w:space="0" w:color="auto"/>
            <w:right w:val="none" w:sz="0" w:space="0" w:color="auto"/>
          </w:divBdr>
          <w:divsChild>
            <w:div w:id="403333998">
              <w:marLeft w:val="0"/>
              <w:marRight w:val="0"/>
              <w:marTop w:val="0"/>
              <w:marBottom w:val="0"/>
              <w:divBdr>
                <w:top w:val="none" w:sz="0" w:space="0" w:color="auto"/>
                <w:left w:val="none" w:sz="0" w:space="0" w:color="auto"/>
                <w:bottom w:val="none" w:sz="0" w:space="0" w:color="auto"/>
                <w:right w:val="none" w:sz="0" w:space="0" w:color="auto"/>
              </w:divBdr>
            </w:div>
            <w:div w:id="370689584">
              <w:marLeft w:val="0"/>
              <w:marRight w:val="0"/>
              <w:marTop w:val="0"/>
              <w:marBottom w:val="0"/>
              <w:divBdr>
                <w:top w:val="none" w:sz="0" w:space="0" w:color="auto"/>
                <w:left w:val="none" w:sz="0" w:space="0" w:color="auto"/>
                <w:bottom w:val="none" w:sz="0" w:space="0" w:color="auto"/>
                <w:right w:val="none" w:sz="0" w:space="0" w:color="auto"/>
              </w:divBdr>
            </w:div>
            <w:div w:id="1212880615">
              <w:marLeft w:val="0"/>
              <w:marRight w:val="0"/>
              <w:marTop w:val="0"/>
              <w:marBottom w:val="0"/>
              <w:divBdr>
                <w:top w:val="none" w:sz="0" w:space="0" w:color="auto"/>
                <w:left w:val="none" w:sz="0" w:space="0" w:color="auto"/>
                <w:bottom w:val="none" w:sz="0" w:space="0" w:color="auto"/>
                <w:right w:val="none" w:sz="0" w:space="0" w:color="auto"/>
              </w:divBdr>
            </w:div>
            <w:div w:id="554388732">
              <w:marLeft w:val="0"/>
              <w:marRight w:val="0"/>
              <w:marTop w:val="0"/>
              <w:marBottom w:val="0"/>
              <w:divBdr>
                <w:top w:val="none" w:sz="0" w:space="0" w:color="auto"/>
                <w:left w:val="none" w:sz="0" w:space="0" w:color="auto"/>
                <w:bottom w:val="none" w:sz="0" w:space="0" w:color="auto"/>
                <w:right w:val="none" w:sz="0" w:space="0" w:color="auto"/>
              </w:divBdr>
            </w:div>
            <w:div w:id="39676057">
              <w:marLeft w:val="0"/>
              <w:marRight w:val="0"/>
              <w:marTop w:val="0"/>
              <w:marBottom w:val="0"/>
              <w:divBdr>
                <w:top w:val="none" w:sz="0" w:space="0" w:color="auto"/>
                <w:left w:val="none" w:sz="0" w:space="0" w:color="auto"/>
                <w:bottom w:val="none" w:sz="0" w:space="0" w:color="auto"/>
                <w:right w:val="none" w:sz="0" w:space="0" w:color="auto"/>
              </w:divBdr>
            </w:div>
            <w:div w:id="1819420155">
              <w:marLeft w:val="0"/>
              <w:marRight w:val="0"/>
              <w:marTop w:val="0"/>
              <w:marBottom w:val="0"/>
              <w:divBdr>
                <w:top w:val="none" w:sz="0" w:space="0" w:color="auto"/>
                <w:left w:val="none" w:sz="0" w:space="0" w:color="auto"/>
                <w:bottom w:val="none" w:sz="0" w:space="0" w:color="auto"/>
                <w:right w:val="none" w:sz="0" w:space="0" w:color="auto"/>
              </w:divBdr>
            </w:div>
            <w:div w:id="549222463">
              <w:marLeft w:val="0"/>
              <w:marRight w:val="0"/>
              <w:marTop w:val="0"/>
              <w:marBottom w:val="0"/>
              <w:divBdr>
                <w:top w:val="none" w:sz="0" w:space="0" w:color="auto"/>
                <w:left w:val="none" w:sz="0" w:space="0" w:color="auto"/>
                <w:bottom w:val="none" w:sz="0" w:space="0" w:color="auto"/>
                <w:right w:val="none" w:sz="0" w:space="0" w:color="auto"/>
              </w:divBdr>
            </w:div>
            <w:div w:id="679087372">
              <w:marLeft w:val="0"/>
              <w:marRight w:val="0"/>
              <w:marTop w:val="0"/>
              <w:marBottom w:val="0"/>
              <w:divBdr>
                <w:top w:val="none" w:sz="0" w:space="0" w:color="auto"/>
                <w:left w:val="none" w:sz="0" w:space="0" w:color="auto"/>
                <w:bottom w:val="none" w:sz="0" w:space="0" w:color="auto"/>
                <w:right w:val="none" w:sz="0" w:space="0" w:color="auto"/>
              </w:divBdr>
            </w:div>
            <w:div w:id="377364817">
              <w:marLeft w:val="0"/>
              <w:marRight w:val="0"/>
              <w:marTop w:val="0"/>
              <w:marBottom w:val="0"/>
              <w:divBdr>
                <w:top w:val="none" w:sz="0" w:space="0" w:color="auto"/>
                <w:left w:val="none" w:sz="0" w:space="0" w:color="auto"/>
                <w:bottom w:val="none" w:sz="0" w:space="0" w:color="auto"/>
                <w:right w:val="none" w:sz="0" w:space="0" w:color="auto"/>
              </w:divBdr>
            </w:div>
            <w:div w:id="713505610">
              <w:marLeft w:val="0"/>
              <w:marRight w:val="0"/>
              <w:marTop w:val="0"/>
              <w:marBottom w:val="0"/>
              <w:divBdr>
                <w:top w:val="none" w:sz="0" w:space="0" w:color="auto"/>
                <w:left w:val="none" w:sz="0" w:space="0" w:color="auto"/>
                <w:bottom w:val="none" w:sz="0" w:space="0" w:color="auto"/>
                <w:right w:val="none" w:sz="0" w:space="0" w:color="auto"/>
              </w:divBdr>
            </w:div>
            <w:div w:id="712122663">
              <w:marLeft w:val="0"/>
              <w:marRight w:val="0"/>
              <w:marTop w:val="0"/>
              <w:marBottom w:val="0"/>
              <w:divBdr>
                <w:top w:val="none" w:sz="0" w:space="0" w:color="auto"/>
                <w:left w:val="none" w:sz="0" w:space="0" w:color="auto"/>
                <w:bottom w:val="none" w:sz="0" w:space="0" w:color="auto"/>
                <w:right w:val="none" w:sz="0" w:space="0" w:color="auto"/>
              </w:divBdr>
            </w:div>
            <w:div w:id="1618024744">
              <w:marLeft w:val="0"/>
              <w:marRight w:val="0"/>
              <w:marTop w:val="0"/>
              <w:marBottom w:val="0"/>
              <w:divBdr>
                <w:top w:val="none" w:sz="0" w:space="0" w:color="auto"/>
                <w:left w:val="none" w:sz="0" w:space="0" w:color="auto"/>
                <w:bottom w:val="none" w:sz="0" w:space="0" w:color="auto"/>
                <w:right w:val="none" w:sz="0" w:space="0" w:color="auto"/>
              </w:divBdr>
            </w:div>
            <w:div w:id="405616886">
              <w:marLeft w:val="0"/>
              <w:marRight w:val="0"/>
              <w:marTop w:val="0"/>
              <w:marBottom w:val="0"/>
              <w:divBdr>
                <w:top w:val="none" w:sz="0" w:space="0" w:color="auto"/>
                <w:left w:val="none" w:sz="0" w:space="0" w:color="auto"/>
                <w:bottom w:val="none" w:sz="0" w:space="0" w:color="auto"/>
                <w:right w:val="none" w:sz="0" w:space="0" w:color="auto"/>
              </w:divBdr>
            </w:div>
            <w:div w:id="1038358468">
              <w:marLeft w:val="0"/>
              <w:marRight w:val="0"/>
              <w:marTop w:val="0"/>
              <w:marBottom w:val="0"/>
              <w:divBdr>
                <w:top w:val="none" w:sz="0" w:space="0" w:color="auto"/>
                <w:left w:val="none" w:sz="0" w:space="0" w:color="auto"/>
                <w:bottom w:val="none" w:sz="0" w:space="0" w:color="auto"/>
                <w:right w:val="none" w:sz="0" w:space="0" w:color="auto"/>
              </w:divBdr>
            </w:div>
            <w:div w:id="976033060">
              <w:marLeft w:val="0"/>
              <w:marRight w:val="0"/>
              <w:marTop w:val="0"/>
              <w:marBottom w:val="0"/>
              <w:divBdr>
                <w:top w:val="none" w:sz="0" w:space="0" w:color="auto"/>
                <w:left w:val="none" w:sz="0" w:space="0" w:color="auto"/>
                <w:bottom w:val="none" w:sz="0" w:space="0" w:color="auto"/>
                <w:right w:val="none" w:sz="0" w:space="0" w:color="auto"/>
              </w:divBdr>
            </w:div>
            <w:div w:id="47002509">
              <w:marLeft w:val="0"/>
              <w:marRight w:val="0"/>
              <w:marTop w:val="0"/>
              <w:marBottom w:val="0"/>
              <w:divBdr>
                <w:top w:val="none" w:sz="0" w:space="0" w:color="auto"/>
                <w:left w:val="none" w:sz="0" w:space="0" w:color="auto"/>
                <w:bottom w:val="none" w:sz="0" w:space="0" w:color="auto"/>
                <w:right w:val="none" w:sz="0" w:space="0" w:color="auto"/>
              </w:divBdr>
            </w:div>
            <w:div w:id="1228111702">
              <w:marLeft w:val="0"/>
              <w:marRight w:val="0"/>
              <w:marTop w:val="0"/>
              <w:marBottom w:val="0"/>
              <w:divBdr>
                <w:top w:val="none" w:sz="0" w:space="0" w:color="auto"/>
                <w:left w:val="none" w:sz="0" w:space="0" w:color="auto"/>
                <w:bottom w:val="none" w:sz="0" w:space="0" w:color="auto"/>
                <w:right w:val="none" w:sz="0" w:space="0" w:color="auto"/>
              </w:divBdr>
            </w:div>
            <w:div w:id="622425870">
              <w:marLeft w:val="0"/>
              <w:marRight w:val="0"/>
              <w:marTop w:val="0"/>
              <w:marBottom w:val="0"/>
              <w:divBdr>
                <w:top w:val="none" w:sz="0" w:space="0" w:color="auto"/>
                <w:left w:val="none" w:sz="0" w:space="0" w:color="auto"/>
                <w:bottom w:val="none" w:sz="0" w:space="0" w:color="auto"/>
                <w:right w:val="none" w:sz="0" w:space="0" w:color="auto"/>
              </w:divBdr>
            </w:div>
            <w:div w:id="211044643">
              <w:marLeft w:val="0"/>
              <w:marRight w:val="0"/>
              <w:marTop w:val="0"/>
              <w:marBottom w:val="0"/>
              <w:divBdr>
                <w:top w:val="none" w:sz="0" w:space="0" w:color="auto"/>
                <w:left w:val="none" w:sz="0" w:space="0" w:color="auto"/>
                <w:bottom w:val="none" w:sz="0" w:space="0" w:color="auto"/>
                <w:right w:val="none" w:sz="0" w:space="0" w:color="auto"/>
              </w:divBdr>
            </w:div>
            <w:div w:id="1929069751">
              <w:marLeft w:val="0"/>
              <w:marRight w:val="0"/>
              <w:marTop w:val="0"/>
              <w:marBottom w:val="0"/>
              <w:divBdr>
                <w:top w:val="none" w:sz="0" w:space="0" w:color="auto"/>
                <w:left w:val="none" w:sz="0" w:space="0" w:color="auto"/>
                <w:bottom w:val="none" w:sz="0" w:space="0" w:color="auto"/>
                <w:right w:val="none" w:sz="0" w:space="0" w:color="auto"/>
              </w:divBdr>
            </w:div>
            <w:div w:id="1102189494">
              <w:marLeft w:val="0"/>
              <w:marRight w:val="0"/>
              <w:marTop w:val="0"/>
              <w:marBottom w:val="0"/>
              <w:divBdr>
                <w:top w:val="none" w:sz="0" w:space="0" w:color="auto"/>
                <w:left w:val="none" w:sz="0" w:space="0" w:color="auto"/>
                <w:bottom w:val="none" w:sz="0" w:space="0" w:color="auto"/>
                <w:right w:val="none" w:sz="0" w:space="0" w:color="auto"/>
              </w:divBdr>
            </w:div>
            <w:div w:id="971253802">
              <w:marLeft w:val="0"/>
              <w:marRight w:val="0"/>
              <w:marTop w:val="0"/>
              <w:marBottom w:val="0"/>
              <w:divBdr>
                <w:top w:val="none" w:sz="0" w:space="0" w:color="auto"/>
                <w:left w:val="none" w:sz="0" w:space="0" w:color="auto"/>
                <w:bottom w:val="none" w:sz="0" w:space="0" w:color="auto"/>
                <w:right w:val="none" w:sz="0" w:space="0" w:color="auto"/>
              </w:divBdr>
            </w:div>
            <w:div w:id="1585721030">
              <w:marLeft w:val="0"/>
              <w:marRight w:val="0"/>
              <w:marTop w:val="0"/>
              <w:marBottom w:val="0"/>
              <w:divBdr>
                <w:top w:val="none" w:sz="0" w:space="0" w:color="auto"/>
                <w:left w:val="none" w:sz="0" w:space="0" w:color="auto"/>
                <w:bottom w:val="none" w:sz="0" w:space="0" w:color="auto"/>
                <w:right w:val="none" w:sz="0" w:space="0" w:color="auto"/>
              </w:divBdr>
            </w:div>
            <w:div w:id="182743056">
              <w:marLeft w:val="0"/>
              <w:marRight w:val="0"/>
              <w:marTop w:val="0"/>
              <w:marBottom w:val="0"/>
              <w:divBdr>
                <w:top w:val="none" w:sz="0" w:space="0" w:color="auto"/>
                <w:left w:val="none" w:sz="0" w:space="0" w:color="auto"/>
                <w:bottom w:val="none" w:sz="0" w:space="0" w:color="auto"/>
                <w:right w:val="none" w:sz="0" w:space="0" w:color="auto"/>
              </w:divBdr>
            </w:div>
            <w:div w:id="803893684">
              <w:marLeft w:val="0"/>
              <w:marRight w:val="0"/>
              <w:marTop w:val="0"/>
              <w:marBottom w:val="0"/>
              <w:divBdr>
                <w:top w:val="none" w:sz="0" w:space="0" w:color="auto"/>
                <w:left w:val="none" w:sz="0" w:space="0" w:color="auto"/>
                <w:bottom w:val="none" w:sz="0" w:space="0" w:color="auto"/>
                <w:right w:val="none" w:sz="0" w:space="0" w:color="auto"/>
              </w:divBdr>
            </w:div>
            <w:div w:id="883785179">
              <w:marLeft w:val="0"/>
              <w:marRight w:val="0"/>
              <w:marTop w:val="0"/>
              <w:marBottom w:val="0"/>
              <w:divBdr>
                <w:top w:val="none" w:sz="0" w:space="0" w:color="auto"/>
                <w:left w:val="none" w:sz="0" w:space="0" w:color="auto"/>
                <w:bottom w:val="none" w:sz="0" w:space="0" w:color="auto"/>
                <w:right w:val="none" w:sz="0" w:space="0" w:color="auto"/>
              </w:divBdr>
            </w:div>
            <w:div w:id="2001887458">
              <w:marLeft w:val="0"/>
              <w:marRight w:val="0"/>
              <w:marTop w:val="0"/>
              <w:marBottom w:val="0"/>
              <w:divBdr>
                <w:top w:val="none" w:sz="0" w:space="0" w:color="auto"/>
                <w:left w:val="none" w:sz="0" w:space="0" w:color="auto"/>
                <w:bottom w:val="none" w:sz="0" w:space="0" w:color="auto"/>
                <w:right w:val="none" w:sz="0" w:space="0" w:color="auto"/>
              </w:divBdr>
            </w:div>
            <w:div w:id="1477994913">
              <w:marLeft w:val="0"/>
              <w:marRight w:val="0"/>
              <w:marTop w:val="0"/>
              <w:marBottom w:val="0"/>
              <w:divBdr>
                <w:top w:val="none" w:sz="0" w:space="0" w:color="auto"/>
                <w:left w:val="none" w:sz="0" w:space="0" w:color="auto"/>
                <w:bottom w:val="none" w:sz="0" w:space="0" w:color="auto"/>
                <w:right w:val="none" w:sz="0" w:space="0" w:color="auto"/>
              </w:divBdr>
            </w:div>
            <w:div w:id="1989283638">
              <w:marLeft w:val="0"/>
              <w:marRight w:val="0"/>
              <w:marTop w:val="0"/>
              <w:marBottom w:val="0"/>
              <w:divBdr>
                <w:top w:val="none" w:sz="0" w:space="0" w:color="auto"/>
                <w:left w:val="none" w:sz="0" w:space="0" w:color="auto"/>
                <w:bottom w:val="none" w:sz="0" w:space="0" w:color="auto"/>
                <w:right w:val="none" w:sz="0" w:space="0" w:color="auto"/>
              </w:divBdr>
            </w:div>
            <w:div w:id="219707297">
              <w:marLeft w:val="0"/>
              <w:marRight w:val="0"/>
              <w:marTop w:val="0"/>
              <w:marBottom w:val="0"/>
              <w:divBdr>
                <w:top w:val="none" w:sz="0" w:space="0" w:color="auto"/>
                <w:left w:val="none" w:sz="0" w:space="0" w:color="auto"/>
                <w:bottom w:val="none" w:sz="0" w:space="0" w:color="auto"/>
                <w:right w:val="none" w:sz="0" w:space="0" w:color="auto"/>
              </w:divBdr>
            </w:div>
            <w:div w:id="395207536">
              <w:marLeft w:val="0"/>
              <w:marRight w:val="0"/>
              <w:marTop w:val="0"/>
              <w:marBottom w:val="0"/>
              <w:divBdr>
                <w:top w:val="none" w:sz="0" w:space="0" w:color="auto"/>
                <w:left w:val="none" w:sz="0" w:space="0" w:color="auto"/>
                <w:bottom w:val="none" w:sz="0" w:space="0" w:color="auto"/>
                <w:right w:val="none" w:sz="0" w:space="0" w:color="auto"/>
              </w:divBdr>
            </w:div>
            <w:div w:id="1554535304">
              <w:marLeft w:val="0"/>
              <w:marRight w:val="0"/>
              <w:marTop w:val="0"/>
              <w:marBottom w:val="0"/>
              <w:divBdr>
                <w:top w:val="none" w:sz="0" w:space="0" w:color="auto"/>
                <w:left w:val="none" w:sz="0" w:space="0" w:color="auto"/>
                <w:bottom w:val="none" w:sz="0" w:space="0" w:color="auto"/>
                <w:right w:val="none" w:sz="0" w:space="0" w:color="auto"/>
              </w:divBdr>
            </w:div>
            <w:div w:id="665134055">
              <w:marLeft w:val="0"/>
              <w:marRight w:val="0"/>
              <w:marTop w:val="0"/>
              <w:marBottom w:val="0"/>
              <w:divBdr>
                <w:top w:val="none" w:sz="0" w:space="0" w:color="auto"/>
                <w:left w:val="none" w:sz="0" w:space="0" w:color="auto"/>
                <w:bottom w:val="none" w:sz="0" w:space="0" w:color="auto"/>
                <w:right w:val="none" w:sz="0" w:space="0" w:color="auto"/>
              </w:divBdr>
            </w:div>
            <w:div w:id="1785341790">
              <w:marLeft w:val="0"/>
              <w:marRight w:val="0"/>
              <w:marTop w:val="0"/>
              <w:marBottom w:val="0"/>
              <w:divBdr>
                <w:top w:val="none" w:sz="0" w:space="0" w:color="auto"/>
                <w:left w:val="none" w:sz="0" w:space="0" w:color="auto"/>
                <w:bottom w:val="none" w:sz="0" w:space="0" w:color="auto"/>
                <w:right w:val="none" w:sz="0" w:space="0" w:color="auto"/>
              </w:divBdr>
            </w:div>
            <w:div w:id="1586837304">
              <w:marLeft w:val="0"/>
              <w:marRight w:val="0"/>
              <w:marTop w:val="0"/>
              <w:marBottom w:val="0"/>
              <w:divBdr>
                <w:top w:val="none" w:sz="0" w:space="0" w:color="auto"/>
                <w:left w:val="none" w:sz="0" w:space="0" w:color="auto"/>
                <w:bottom w:val="none" w:sz="0" w:space="0" w:color="auto"/>
                <w:right w:val="none" w:sz="0" w:space="0" w:color="auto"/>
              </w:divBdr>
            </w:div>
            <w:div w:id="1956401558">
              <w:marLeft w:val="0"/>
              <w:marRight w:val="0"/>
              <w:marTop w:val="0"/>
              <w:marBottom w:val="0"/>
              <w:divBdr>
                <w:top w:val="none" w:sz="0" w:space="0" w:color="auto"/>
                <w:left w:val="none" w:sz="0" w:space="0" w:color="auto"/>
                <w:bottom w:val="none" w:sz="0" w:space="0" w:color="auto"/>
                <w:right w:val="none" w:sz="0" w:space="0" w:color="auto"/>
              </w:divBdr>
            </w:div>
            <w:div w:id="6299571">
              <w:marLeft w:val="0"/>
              <w:marRight w:val="0"/>
              <w:marTop w:val="0"/>
              <w:marBottom w:val="0"/>
              <w:divBdr>
                <w:top w:val="none" w:sz="0" w:space="0" w:color="auto"/>
                <w:left w:val="none" w:sz="0" w:space="0" w:color="auto"/>
                <w:bottom w:val="none" w:sz="0" w:space="0" w:color="auto"/>
                <w:right w:val="none" w:sz="0" w:space="0" w:color="auto"/>
              </w:divBdr>
            </w:div>
            <w:div w:id="836698850">
              <w:marLeft w:val="0"/>
              <w:marRight w:val="0"/>
              <w:marTop w:val="0"/>
              <w:marBottom w:val="0"/>
              <w:divBdr>
                <w:top w:val="none" w:sz="0" w:space="0" w:color="auto"/>
                <w:left w:val="none" w:sz="0" w:space="0" w:color="auto"/>
                <w:bottom w:val="none" w:sz="0" w:space="0" w:color="auto"/>
                <w:right w:val="none" w:sz="0" w:space="0" w:color="auto"/>
              </w:divBdr>
            </w:div>
            <w:div w:id="787773052">
              <w:marLeft w:val="0"/>
              <w:marRight w:val="0"/>
              <w:marTop w:val="0"/>
              <w:marBottom w:val="0"/>
              <w:divBdr>
                <w:top w:val="none" w:sz="0" w:space="0" w:color="auto"/>
                <w:left w:val="none" w:sz="0" w:space="0" w:color="auto"/>
                <w:bottom w:val="none" w:sz="0" w:space="0" w:color="auto"/>
                <w:right w:val="none" w:sz="0" w:space="0" w:color="auto"/>
              </w:divBdr>
            </w:div>
            <w:div w:id="636961001">
              <w:marLeft w:val="0"/>
              <w:marRight w:val="0"/>
              <w:marTop w:val="0"/>
              <w:marBottom w:val="0"/>
              <w:divBdr>
                <w:top w:val="none" w:sz="0" w:space="0" w:color="auto"/>
                <w:left w:val="none" w:sz="0" w:space="0" w:color="auto"/>
                <w:bottom w:val="none" w:sz="0" w:space="0" w:color="auto"/>
                <w:right w:val="none" w:sz="0" w:space="0" w:color="auto"/>
              </w:divBdr>
            </w:div>
            <w:div w:id="1456365118">
              <w:marLeft w:val="0"/>
              <w:marRight w:val="0"/>
              <w:marTop w:val="0"/>
              <w:marBottom w:val="0"/>
              <w:divBdr>
                <w:top w:val="none" w:sz="0" w:space="0" w:color="auto"/>
                <w:left w:val="none" w:sz="0" w:space="0" w:color="auto"/>
                <w:bottom w:val="none" w:sz="0" w:space="0" w:color="auto"/>
                <w:right w:val="none" w:sz="0" w:space="0" w:color="auto"/>
              </w:divBdr>
            </w:div>
            <w:div w:id="614214178">
              <w:marLeft w:val="0"/>
              <w:marRight w:val="0"/>
              <w:marTop w:val="0"/>
              <w:marBottom w:val="0"/>
              <w:divBdr>
                <w:top w:val="none" w:sz="0" w:space="0" w:color="auto"/>
                <w:left w:val="none" w:sz="0" w:space="0" w:color="auto"/>
                <w:bottom w:val="none" w:sz="0" w:space="0" w:color="auto"/>
                <w:right w:val="none" w:sz="0" w:space="0" w:color="auto"/>
              </w:divBdr>
            </w:div>
            <w:div w:id="1902448967">
              <w:marLeft w:val="0"/>
              <w:marRight w:val="0"/>
              <w:marTop w:val="0"/>
              <w:marBottom w:val="0"/>
              <w:divBdr>
                <w:top w:val="none" w:sz="0" w:space="0" w:color="auto"/>
                <w:left w:val="none" w:sz="0" w:space="0" w:color="auto"/>
                <w:bottom w:val="none" w:sz="0" w:space="0" w:color="auto"/>
                <w:right w:val="none" w:sz="0" w:space="0" w:color="auto"/>
              </w:divBdr>
            </w:div>
            <w:div w:id="1446079467">
              <w:marLeft w:val="0"/>
              <w:marRight w:val="0"/>
              <w:marTop w:val="0"/>
              <w:marBottom w:val="0"/>
              <w:divBdr>
                <w:top w:val="none" w:sz="0" w:space="0" w:color="auto"/>
                <w:left w:val="none" w:sz="0" w:space="0" w:color="auto"/>
                <w:bottom w:val="none" w:sz="0" w:space="0" w:color="auto"/>
                <w:right w:val="none" w:sz="0" w:space="0" w:color="auto"/>
              </w:divBdr>
            </w:div>
            <w:div w:id="763182697">
              <w:marLeft w:val="0"/>
              <w:marRight w:val="0"/>
              <w:marTop w:val="0"/>
              <w:marBottom w:val="0"/>
              <w:divBdr>
                <w:top w:val="none" w:sz="0" w:space="0" w:color="auto"/>
                <w:left w:val="none" w:sz="0" w:space="0" w:color="auto"/>
                <w:bottom w:val="none" w:sz="0" w:space="0" w:color="auto"/>
                <w:right w:val="none" w:sz="0" w:space="0" w:color="auto"/>
              </w:divBdr>
            </w:div>
            <w:div w:id="1253275846">
              <w:marLeft w:val="0"/>
              <w:marRight w:val="0"/>
              <w:marTop w:val="0"/>
              <w:marBottom w:val="0"/>
              <w:divBdr>
                <w:top w:val="none" w:sz="0" w:space="0" w:color="auto"/>
                <w:left w:val="none" w:sz="0" w:space="0" w:color="auto"/>
                <w:bottom w:val="none" w:sz="0" w:space="0" w:color="auto"/>
                <w:right w:val="none" w:sz="0" w:space="0" w:color="auto"/>
              </w:divBdr>
            </w:div>
            <w:div w:id="1590114276">
              <w:marLeft w:val="0"/>
              <w:marRight w:val="0"/>
              <w:marTop w:val="0"/>
              <w:marBottom w:val="0"/>
              <w:divBdr>
                <w:top w:val="none" w:sz="0" w:space="0" w:color="auto"/>
                <w:left w:val="none" w:sz="0" w:space="0" w:color="auto"/>
                <w:bottom w:val="none" w:sz="0" w:space="0" w:color="auto"/>
                <w:right w:val="none" w:sz="0" w:space="0" w:color="auto"/>
              </w:divBdr>
            </w:div>
            <w:div w:id="1149856611">
              <w:marLeft w:val="0"/>
              <w:marRight w:val="0"/>
              <w:marTop w:val="0"/>
              <w:marBottom w:val="0"/>
              <w:divBdr>
                <w:top w:val="none" w:sz="0" w:space="0" w:color="auto"/>
                <w:left w:val="none" w:sz="0" w:space="0" w:color="auto"/>
                <w:bottom w:val="none" w:sz="0" w:space="0" w:color="auto"/>
                <w:right w:val="none" w:sz="0" w:space="0" w:color="auto"/>
              </w:divBdr>
            </w:div>
            <w:div w:id="1523202376">
              <w:marLeft w:val="0"/>
              <w:marRight w:val="0"/>
              <w:marTop w:val="0"/>
              <w:marBottom w:val="0"/>
              <w:divBdr>
                <w:top w:val="none" w:sz="0" w:space="0" w:color="auto"/>
                <w:left w:val="none" w:sz="0" w:space="0" w:color="auto"/>
                <w:bottom w:val="none" w:sz="0" w:space="0" w:color="auto"/>
                <w:right w:val="none" w:sz="0" w:space="0" w:color="auto"/>
              </w:divBdr>
            </w:div>
            <w:div w:id="726030079">
              <w:marLeft w:val="0"/>
              <w:marRight w:val="0"/>
              <w:marTop w:val="0"/>
              <w:marBottom w:val="0"/>
              <w:divBdr>
                <w:top w:val="none" w:sz="0" w:space="0" w:color="auto"/>
                <w:left w:val="none" w:sz="0" w:space="0" w:color="auto"/>
                <w:bottom w:val="none" w:sz="0" w:space="0" w:color="auto"/>
                <w:right w:val="none" w:sz="0" w:space="0" w:color="auto"/>
              </w:divBdr>
            </w:div>
            <w:div w:id="228728756">
              <w:marLeft w:val="0"/>
              <w:marRight w:val="0"/>
              <w:marTop w:val="0"/>
              <w:marBottom w:val="0"/>
              <w:divBdr>
                <w:top w:val="none" w:sz="0" w:space="0" w:color="auto"/>
                <w:left w:val="none" w:sz="0" w:space="0" w:color="auto"/>
                <w:bottom w:val="none" w:sz="0" w:space="0" w:color="auto"/>
                <w:right w:val="none" w:sz="0" w:space="0" w:color="auto"/>
              </w:divBdr>
            </w:div>
            <w:div w:id="1238788719">
              <w:marLeft w:val="0"/>
              <w:marRight w:val="0"/>
              <w:marTop w:val="0"/>
              <w:marBottom w:val="0"/>
              <w:divBdr>
                <w:top w:val="none" w:sz="0" w:space="0" w:color="auto"/>
                <w:left w:val="none" w:sz="0" w:space="0" w:color="auto"/>
                <w:bottom w:val="none" w:sz="0" w:space="0" w:color="auto"/>
                <w:right w:val="none" w:sz="0" w:space="0" w:color="auto"/>
              </w:divBdr>
            </w:div>
            <w:div w:id="1598100753">
              <w:marLeft w:val="0"/>
              <w:marRight w:val="0"/>
              <w:marTop w:val="0"/>
              <w:marBottom w:val="0"/>
              <w:divBdr>
                <w:top w:val="none" w:sz="0" w:space="0" w:color="auto"/>
                <w:left w:val="none" w:sz="0" w:space="0" w:color="auto"/>
                <w:bottom w:val="none" w:sz="0" w:space="0" w:color="auto"/>
                <w:right w:val="none" w:sz="0" w:space="0" w:color="auto"/>
              </w:divBdr>
            </w:div>
            <w:div w:id="1248731098">
              <w:marLeft w:val="0"/>
              <w:marRight w:val="0"/>
              <w:marTop w:val="0"/>
              <w:marBottom w:val="0"/>
              <w:divBdr>
                <w:top w:val="none" w:sz="0" w:space="0" w:color="auto"/>
                <w:left w:val="none" w:sz="0" w:space="0" w:color="auto"/>
                <w:bottom w:val="none" w:sz="0" w:space="0" w:color="auto"/>
                <w:right w:val="none" w:sz="0" w:space="0" w:color="auto"/>
              </w:divBdr>
            </w:div>
            <w:div w:id="173810409">
              <w:marLeft w:val="0"/>
              <w:marRight w:val="0"/>
              <w:marTop w:val="0"/>
              <w:marBottom w:val="0"/>
              <w:divBdr>
                <w:top w:val="none" w:sz="0" w:space="0" w:color="auto"/>
                <w:left w:val="none" w:sz="0" w:space="0" w:color="auto"/>
                <w:bottom w:val="none" w:sz="0" w:space="0" w:color="auto"/>
                <w:right w:val="none" w:sz="0" w:space="0" w:color="auto"/>
              </w:divBdr>
            </w:div>
            <w:div w:id="1476605096">
              <w:marLeft w:val="0"/>
              <w:marRight w:val="0"/>
              <w:marTop w:val="0"/>
              <w:marBottom w:val="0"/>
              <w:divBdr>
                <w:top w:val="none" w:sz="0" w:space="0" w:color="auto"/>
                <w:left w:val="none" w:sz="0" w:space="0" w:color="auto"/>
                <w:bottom w:val="none" w:sz="0" w:space="0" w:color="auto"/>
                <w:right w:val="none" w:sz="0" w:space="0" w:color="auto"/>
              </w:divBdr>
            </w:div>
            <w:div w:id="532301784">
              <w:marLeft w:val="0"/>
              <w:marRight w:val="0"/>
              <w:marTop w:val="0"/>
              <w:marBottom w:val="0"/>
              <w:divBdr>
                <w:top w:val="none" w:sz="0" w:space="0" w:color="auto"/>
                <w:left w:val="none" w:sz="0" w:space="0" w:color="auto"/>
                <w:bottom w:val="none" w:sz="0" w:space="0" w:color="auto"/>
                <w:right w:val="none" w:sz="0" w:space="0" w:color="auto"/>
              </w:divBdr>
            </w:div>
            <w:div w:id="1375499499">
              <w:marLeft w:val="0"/>
              <w:marRight w:val="0"/>
              <w:marTop w:val="0"/>
              <w:marBottom w:val="0"/>
              <w:divBdr>
                <w:top w:val="none" w:sz="0" w:space="0" w:color="auto"/>
                <w:left w:val="none" w:sz="0" w:space="0" w:color="auto"/>
                <w:bottom w:val="none" w:sz="0" w:space="0" w:color="auto"/>
                <w:right w:val="none" w:sz="0" w:space="0" w:color="auto"/>
              </w:divBdr>
            </w:div>
            <w:div w:id="401097982">
              <w:marLeft w:val="0"/>
              <w:marRight w:val="0"/>
              <w:marTop w:val="0"/>
              <w:marBottom w:val="0"/>
              <w:divBdr>
                <w:top w:val="none" w:sz="0" w:space="0" w:color="auto"/>
                <w:left w:val="none" w:sz="0" w:space="0" w:color="auto"/>
                <w:bottom w:val="none" w:sz="0" w:space="0" w:color="auto"/>
                <w:right w:val="none" w:sz="0" w:space="0" w:color="auto"/>
              </w:divBdr>
            </w:div>
            <w:div w:id="1777095498">
              <w:marLeft w:val="0"/>
              <w:marRight w:val="0"/>
              <w:marTop w:val="0"/>
              <w:marBottom w:val="0"/>
              <w:divBdr>
                <w:top w:val="none" w:sz="0" w:space="0" w:color="auto"/>
                <w:left w:val="none" w:sz="0" w:space="0" w:color="auto"/>
                <w:bottom w:val="none" w:sz="0" w:space="0" w:color="auto"/>
                <w:right w:val="none" w:sz="0" w:space="0" w:color="auto"/>
              </w:divBdr>
            </w:div>
            <w:div w:id="1302424259">
              <w:marLeft w:val="0"/>
              <w:marRight w:val="0"/>
              <w:marTop w:val="0"/>
              <w:marBottom w:val="0"/>
              <w:divBdr>
                <w:top w:val="none" w:sz="0" w:space="0" w:color="auto"/>
                <w:left w:val="none" w:sz="0" w:space="0" w:color="auto"/>
                <w:bottom w:val="none" w:sz="0" w:space="0" w:color="auto"/>
                <w:right w:val="none" w:sz="0" w:space="0" w:color="auto"/>
              </w:divBdr>
            </w:div>
            <w:div w:id="1491673498">
              <w:marLeft w:val="0"/>
              <w:marRight w:val="0"/>
              <w:marTop w:val="0"/>
              <w:marBottom w:val="0"/>
              <w:divBdr>
                <w:top w:val="none" w:sz="0" w:space="0" w:color="auto"/>
                <w:left w:val="none" w:sz="0" w:space="0" w:color="auto"/>
                <w:bottom w:val="none" w:sz="0" w:space="0" w:color="auto"/>
                <w:right w:val="none" w:sz="0" w:space="0" w:color="auto"/>
              </w:divBdr>
            </w:div>
            <w:div w:id="370038921">
              <w:marLeft w:val="0"/>
              <w:marRight w:val="0"/>
              <w:marTop w:val="0"/>
              <w:marBottom w:val="0"/>
              <w:divBdr>
                <w:top w:val="none" w:sz="0" w:space="0" w:color="auto"/>
                <w:left w:val="none" w:sz="0" w:space="0" w:color="auto"/>
                <w:bottom w:val="none" w:sz="0" w:space="0" w:color="auto"/>
                <w:right w:val="none" w:sz="0" w:space="0" w:color="auto"/>
              </w:divBdr>
            </w:div>
            <w:div w:id="563217318">
              <w:marLeft w:val="0"/>
              <w:marRight w:val="0"/>
              <w:marTop w:val="0"/>
              <w:marBottom w:val="0"/>
              <w:divBdr>
                <w:top w:val="none" w:sz="0" w:space="0" w:color="auto"/>
                <w:left w:val="none" w:sz="0" w:space="0" w:color="auto"/>
                <w:bottom w:val="none" w:sz="0" w:space="0" w:color="auto"/>
                <w:right w:val="none" w:sz="0" w:space="0" w:color="auto"/>
              </w:divBdr>
            </w:div>
          </w:divsChild>
        </w:div>
        <w:div w:id="100877414">
          <w:marLeft w:val="0"/>
          <w:marRight w:val="0"/>
          <w:marTop w:val="0"/>
          <w:marBottom w:val="0"/>
          <w:divBdr>
            <w:top w:val="none" w:sz="0" w:space="0" w:color="auto"/>
            <w:left w:val="none" w:sz="0" w:space="0" w:color="auto"/>
            <w:bottom w:val="none" w:sz="0" w:space="0" w:color="auto"/>
            <w:right w:val="none" w:sz="0" w:space="0" w:color="auto"/>
          </w:divBdr>
          <w:divsChild>
            <w:div w:id="764544124">
              <w:marLeft w:val="0"/>
              <w:marRight w:val="0"/>
              <w:marTop w:val="0"/>
              <w:marBottom w:val="0"/>
              <w:divBdr>
                <w:top w:val="none" w:sz="0" w:space="0" w:color="auto"/>
                <w:left w:val="none" w:sz="0" w:space="0" w:color="auto"/>
                <w:bottom w:val="none" w:sz="0" w:space="0" w:color="auto"/>
                <w:right w:val="none" w:sz="0" w:space="0" w:color="auto"/>
              </w:divBdr>
            </w:div>
          </w:divsChild>
        </w:div>
        <w:div w:id="1870414419">
          <w:marLeft w:val="0"/>
          <w:marRight w:val="0"/>
          <w:marTop w:val="0"/>
          <w:marBottom w:val="0"/>
          <w:divBdr>
            <w:top w:val="none" w:sz="0" w:space="0" w:color="auto"/>
            <w:left w:val="none" w:sz="0" w:space="0" w:color="auto"/>
            <w:bottom w:val="none" w:sz="0" w:space="0" w:color="auto"/>
            <w:right w:val="none" w:sz="0" w:space="0" w:color="auto"/>
          </w:divBdr>
          <w:divsChild>
            <w:div w:id="553856996">
              <w:marLeft w:val="0"/>
              <w:marRight w:val="0"/>
              <w:marTop w:val="0"/>
              <w:marBottom w:val="0"/>
              <w:divBdr>
                <w:top w:val="none" w:sz="0" w:space="0" w:color="auto"/>
                <w:left w:val="none" w:sz="0" w:space="0" w:color="auto"/>
                <w:bottom w:val="none" w:sz="0" w:space="0" w:color="auto"/>
                <w:right w:val="none" w:sz="0" w:space="0" w:color="auto"/>
              </w:divBdr>
            </w:div>
            <w:div w:id="1372147231">
              <w:marLeft w:val="0"/>
              <w:marRight w:val="0"/>
              <w:marTop w:val="0"/>
              <w:marBottom w:val="0"/>
              <w:divBdr>
                <w:top w:val="none" w:sz="0" w:space="0" w:color="auto"/>
                <w:left w:val="none" w:sz="0" w:space="0" w:color="auto"/>
                <w:bottom w:val="none" w:sz="0" w:space="0" w:color="auto"/>
                <w:right w:val="none" w:sz="0" w:space="0" w:color="auto"/>
              </w:divBdr>
            </w:div>
            <w:div w:id="463426760">
              <w:marLeft w:val="0"/>
              <w:marRight w:val="0"/>
              <w:marTop w:val="0"/>
              <w:marBottom w:val="0"/>
              <w:divBdr>
                <w:top w:val="none" w:sz="0" w:space="0" w:color="auto"/>
                <w:left w:val="none" w:sz="0" w:space="0" w:color="auto"/>
                <w:bottom w:val="none" w:sz="0" w:space="0" w:color="auto"/>
                <w:right w:val="none" w:sz="0" w:space="0" w:color="auto"/>
              </w:divBdr>
            </w:div>
            <w:div w:id="768963375">
              <w:marLeft w:val="0"/>
              <w:marRight w:val="0"/>
              <w:marTop w:val="0"/>
              <w:marBottom w:val="0"/>
              <w:divBdr>
                <w:top w:val="none" w:sz="0" w:space="0" w:color="auto"/>
                <w:left w:val="none" w:sz="0" w:space="0" w:color="auto"/>
                <w:bottom w:val="none" w:sz="0" w:space="0" w:color="auto"/>
                <w:right w:val="none" w:sz="0" w:space="0" w:color="auto"/>
              </w:divBdr>
            </w:div>
          </w:divsChild>
        </w:div>
        <w:div w:id="51318606">
          <w:marLeft w:val="0"/>
          <w:marRight w:val="0"/>
          <w:marTop w:val="0"/>
          <w:marBottom w:val="0"/>
          <w:divBdr>
            <w:top w:val="none" w:sz="0" w:space="0" w:color="auto"/>
            <w:left w:val="none" w:sz="0" w:space="0" w:color="auto"/>
            <w:bottom w:val="none" w:sz="0" w:space="0" w:color="auto"/>
            <w:right w:val="none" w:sz="0" w:space="0" w:color="auto"/>
          </w:divBdr>
          <w:divsChild>
            <w:div w:id="339939023">
              <w:marLeft w:val="0"/>
              <w:marRight w:val="0"/>
              <w:marTop w:val="0"/>
              <w:marBottom w:val="0"/>
              <w:divBdr>
                <w:top w:val="none" w:sz="0" w:space="0" w:color="auto"/>
                <w:left w:val="none" w:sz="0" w:space="0" w:color="auto"/>
                <w:bottom w:val="none" w:sz="0" w:space="0" w:color="auto"/>
                <w:right w:val="none" w:sz="0" w:space="0" w:color="auto"/>
              </w:divBdr>
            </w:div>
            <w:div w:id="728308057">
              <w:marLeft w:val="0"/>
              <w:marRight w:val="0"/>
              <w:marTop w:val="0"/>
              <w:marBottom w:val="0"/>
              <w:divBdr>
                <w:top w:val="none" w:sz="0" w:space="0" w:color="auto"/>
                <w:left w:val="none" w:sz="0" w:space="0" w:color="auto"/>
                <w:bottom w:val="none" w:sz="0" w:space="0" w:color="auto"/>
                <w:right w:val="none" w:sz="0" w:space="0" w:color="auto"/>
              </w:divBdr>
            </w:div>
            <w:div w:id="54548615">
              <w:marLeft w:val="0"/>
              <w:marRight w:val="0"/>
              <w:marTop w:val="0"/>
              <w:marBottom w:val="0"/>
              <w:divBdr>
                <w:top w:val="none" w:sz="0" w:space="0" w:color="auto"/>
                <w:left w:val="none" w:sz="0" w:space="0" w:color="auto"/>
                <w:bottom w:val="none" w:sz="0" w:space="0" w:color="auto"/>
                <w:right w:val="none" w:sz="0" w:space="0" w:color="auto"/>
              </w:divBdr>
            </w:div>
            <w:div w:id="1423451148">
              <w:marLeft w:val="0"/>
              <w:marRight w:val="0"/>
              <w:marTop w:val="0"/>
              <w:marBottom w:val="0"/>
              <w:divBdr>
                <w:top w:val="none" w:sz="0" w:space="0" w:color="auto"/>
                <w:left w:val="none" w:sz="0" w:space="0" w:color="auto"/>
                <w:bottom w:val="none" w:sz="0" w:space="0" w:color="auto"/>
                <w:right w:val="none" w:sz="0" w:space="0" w:color="auto"/>
              </w:divBdr>
            </w:div>
          </w:divsChild>
        </w:div>
        <w:div w:id="1223441880">
          <w:marLeft w:val="0"/>
          <w:marRight w:val="0"/>
          <w:marTop w:val="0"/>
          <w:marBottom w:val="0"/>
          <w:divBdr>
            <w:top w:val="none" w:sz="0" w:space="0" w:color="auto"/>
            <w:left w:val="none" w:sz="0" w:space="0" w:color="auto"/>
            <w:bottom w:val="none" w:sz="0" w:space="0" w:color="auto"/>
            <w:right w:val="none" w:sz="0" w:space="0" w:color="auto"/>
          </w:divBdr>
          <w:divsChild>
            <w:div w:id="659313208">
              <w:marLeft w:val="0"/>
              <w:marRight w:val="0"/>
              <w:marTop w:val="0"/>
              <w:marBottom w:val="0"/>
              <w:divBdr>
                <w:top w:val="none" w:sz="0" w:space="0" w:color="auto"/>
                <w:left w:val="none" w:sz="0" w:space="0" w:color="auto"/>
                <w:bottom w:val="none" w:sz="0" w:space="0" w:color="auto"/>
                <w:right w:val="none" w:sz="0" w:space="0" w:color="auto"/>
              </w:divBdr>
            </w:div>
            <w:div w:id="1624657151">
              <w:marLeft w:val="0"/>
              <w:marRight w:val="0"/>
              <w:marTop w:val="0"/>
              <w:marBottom w:val="0"/>
              <w:divBdr>
                <w:top w:val="none" w:sz="0" w:space="0" w:color="auto"/>
                <w:left w:val="none" w:sz="0" w:space="0" w:color="auto"/>
                <w:bottom w:val="none" w:sz="0" w:space="0" w:color="auto"/>
                <w:right w:val="none" w:sz="0" w:space="0" w:color="auto"/>
              </w:divBdr>
            </w:div>
            <w:div w:id="2018074394">
              <w:marLeft w:val="0"/>
              <w:marRight w:val="0"/>
              <w:marTop w:val="0"/>
              <w:marBottom w:val="0"/>
              <w:divBdr>
                <w:top w:val="none" w:sz="0" w:space="0" w:color="auto"/>
                <w:left w:val="none" w:sz="0" w:space="0" w:color="auto"/>
                <w:bottom w:val="none" w:sz="0" w:space="0" w:color="auto"/>
                <w:right w:val="none" w:sz="0" w:space="0" w:color="auto"/>
              </w:divBdr>
            </w:div>
            <w:div w:id="257639854">
              <w:marLeft w:val="0"/>
              <w:marRight w:val="0"/>
              <w:marTop w:val="0"/>
              <w:marBottom w:val="0"/>
              <w:divBdr>
                <w:top w:val="none" w:sz="0" w:space="0" w:color="auto"/>
                <w:left w:val="none" w:sz="0" w:space="0" w:color="auto"/>
                <w:bottom w:val="none" w:sz="0" w:space="0" w:color="auto"/>
                <w:right w:val="none" w:sz="0" w:space="0" w:color="auto"/>
              </w:divBdr>
            </w:div>
            <w:div w:id="1103568590">
              <w:marLeft w:val="0"/>
              <w:marRight w:val="0"/>
              <w:marTop w:val="0"/>
              <w:marBottom w:val="0"/>
              <w:divBdr>
                <w:top w:val="none" w:sz="0" w:space="0" w:color="auto"/>
                <w:left w:val="none" w:sz="0" w:space="0" w:color="auto"/>
                <w:bottom w:val="none" w:sz="0" w:space="0" w:color="auto"/>
                <w:right w:val="none" w:sz="0" w:space="0" w:color="auto"/>
              </w:divBdr>
            </w:div>
          </w:divsChild>
        </w:div>
        <w:div w:id="521357276">
          <w:marLeft w:val="0"/>
          <w:marRight w:val="0"/>
          <w:marTop w:val="0"/>
          <w:marBottom w:val="0"/>
          <w:divBdr>
            <w:top w:val="none" w:sz="0" w:space="0" w:color="auto"/>
            <w:left w:val="none" w:sz="0" w:space="0" w:color="auto"/>
            <w:bottom w:val="none" w:sz="0" w:space="0" w:color="auto"/>
            <w:right w:val="none" w:sz="0" w:space="0" w:color="auto"/>
          </w:divBdr>
          <w:divsChild>
            <w:div w:id="857083198">
              <w:marLeft w:val="0"/>
              <w:marRight w:val="0"/>
              <w:marTop w:val="0"/>
              <w:marBottom w:val="0"/>
              <w:divBdr>
                <w:top w:val="none" w:sz="0" w:space="0" w:color="auto"/>
                <w:left w:val="none" w:sz="0" w:space="0" w:color="auto"/>
                <w:bottom w:val="none" w:sz="0" w:space="0" w:color="auto"/>
                <w:right w:val="none" w:sz="0" w:space="0" w:color="auto"/>
              </w:divBdr>
            </w:div>
          </w:divsChild>
        </w:div>
        <w:div w:id="1099371643">
          <w:marLeft w:val="0"/>
          <w:marRight w:val="0"/>
          <w:marTop w:val="0"/>
          <w:marBottom w:val="0"/>
          <w:divBdr>
            <w:top w:val="none" w:sz="0" w:space="0" w:color="auto"/>
            <w:left w:val="none" w:sz="0" w:space="0" w:color="auto"/>
            <w:bottom w:val="none" w:sz="0" w:space="0" w:color="auto"/>
            <w:right w:val="none" w:sz="0" w:space="0" w:color="auto"/>
          </w:divBdr>
          <w:divsChild>
            <w:div w:id="18499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bsc.org/membership/countries/scotland.html" TargetMode="External"/><Relationship Id="rId21" Type="http://schemas.openxmlformats.org/officeDocument/2006/relationships/hyperlink" Target="https://www.transport.gov.scot/news/45-projects-share-1m-in-grants-to-support-sustainable-travel/" TargetMode="External"/><Relationship Id="rId42" Type="http://schemas.openxmlformats.org/officeDocument/2006/relationships/hyperlink" Target="https://beta.isdscotland.org/find-publications-and-data/population-health/child-health/primary-1-body-mass-index-bmi-statistics-scotland/" TargetMode="External"/><Relationship Id="rId47" Type="http://schemas.openxmlformats.org/officeDocument/2006/relationships/hyperlink" Target="https://www.sciencedirect.com/science/article/pii/S027795361930053X" TargetMode="External"/><Relationship Id="rId63" Type="http://schemas.openxmlformats.org/officeDocument/2006/relationships/hyperlink" Target="https://sportforlife.org.uk/documents/Sport-for-Life-Full-Document.pdf" TargetMode="External"/><Relationship Id="rId68" Type="http://schemas.microsoft.com/office/2011/relationships/commentsExtended" Target="commentsExtended.xml"/><Relationship Id="rId84" Type="http://schemas.microsoft.com/office/2016/09/relationships/commentsIds" Target="commentsIds.xml"/><Relationship Id="rId16" Type="http://schemas.openxmlformats.org/officeDocument/2006/relationships/hyperlink" Target="http://www.activehealthykidsscotland.co.uk" TargetMode="External"/><Relationship Id="rId11" Type="http://schemas.openxmlformats.org/officeDocument/2006/relationships/hyperlink" Target="http://www.activehealthykidsscotland.co.uk" TargetMode="External"/><Relationship Id="rId32" Type="http://schemas.openxmlformats.org/officeDocument/2006/relationships/hyperlink" Target="https://www.gov.scot/publications/scottish-health-survey-2019-volume-2-technical-report/" TargetMode="External"/><Relationship Id="rId37" Type="http://schemas.openxmlformats.org/officeDocument/2006/relationships/hyperlink" Target="https://www.foodstandards.gov.scot/downloads/D19-01_Final_Report_2001-2015_-_130618.pdf" TargetMode="External"/><Relationship Id="rId53" Type="http://schemas.openxmlformats.org/officeDocument/2006/relationships/hyperlink" Target="https://www.parliament.scot/-/media/files/legislation/bills/previous-bills/restricted-roads-20mph-speed-limit-scotland-bill/introduced/policy-memorandum-restricted-roads-20mph-speed-limit-scotland-bill.pdf" TargetMode="External"/><Relationship Id="rId58" Type="http://schemas.openxmlformats.org/officeDocument/2006/relationships/hyperlink" Target="https://www.gov.scot/binaries/content/documents/govscot/publications/progress-report/2020/07/scotland-sustainable-development-goals-national-review-drive-action/documents/scotland-sustainable-development-goals-national-review-drive-action/scotland-sustainable-development-goals-national-review-drive-action/govscot%3Adocument/scotland-sustainable-development-goals-national-review-drive-action.pdf?forceDownload=true" TargetMode="External"/><Relationship Id="rId74" Type="http://schemas.openxmlformats.org/officeDocument/2006/relationships/hyperlink" Target="https://www.gov.scot/publications/scottish-dietary-goals-march-2016/" TargetMode="External"/><Relationship Id="rId79" Type="http://schemas.openxmlformats.org/officeDocument/2006/relationships/hyperlink" Target="https://www.gov.scot/policies/poverty-and-social-justice/" TargetMode="External"/><Relationship Id="rId5" Type="http://schemas.openxmlformats.org/officeDocument/2006/relationships/numbering" Target="numbering.xml"/><Relationship Id="rId19" Type="http://schemas.openxmlformats.org/officeDocument/2006/relationships/hyperlink" Target="https://www2.gov.scot/Topics/Health/Healthy-Living/Food-Health/DietaryGoalsScot" TargetMode="External"/><Relationship Id="rId14" Type="http://schemas.openxmlformats.org/officeDocument/2006/relationships/hyperlink" Target="mailto:john.j.reilly@strath.ac.uk" TargetMode="External"/><Relationship Id="rId22" Type="http://schemas.openxmlformats.org/officeDocument/2006/relationships/hyperlink" Target="https://www.transport.gov.scot/news/further-investment-in-cycle-training-for-early-years/" TargetMode="External"/><Relationship Id="rId27" Type="http://schemas.openxmlformats.org/officeDocument/2006/relationships/hyperlink" Target="http://www.healthscotland.scot/publications/covid-19-early-years-resilience-and-impact-survey-ceyris" TargetMode="External"/><Relationship Id="rId30" Type="http://schemas.openxmlformats.org/officeDocument/2006/relationships/hyperlink" Target="https://www.gov.scot/binaries/content/documents/govscot/publications/statistics/2020/09/scottish-health-survey-2019-volume-1-main-report/documents/scottish-health-survey-2019-edition-volume-1-main-report/scottish-health-survey-2019-edition-volume-1-main-report/govscot%3Adocument/scottish-health-survey-2019-edition-volume-1-main-report.pdf?forceDownload=true" TargetMode="External"/><Relationship Id="rId35" Type="http://schemas.openxmlformats.org/officeDocument/2006/relationships/hyperlink" Target="https://www.gla.ac.uk/media/Media_707475_smxx.pdf" TargetMode="External"/><Relationship Id="rId43" Type="http://schemas.openxmlformats.org/officeDocument/2006/relationships/hyperlink" Target="https://www.isdscotland.org/Health-Topics/Child-Health/Publications/2019-12-10/2019-12-10-P1-BMI-Statistics-Publication-Report.pdf" TargetMode="External"/><Relationship Id="rId48" Type="http://schemas.openxmlformats.org/officeDocument/2006/relationships/hyperlink" Target="https://www.gov.scot/publications/securing-green-recovery-path-net-zero-update-climate-change-plan-20182032/" TargetMode="External"/><Relationship Id="rId56" Type="http://schemas.openxmlformats.org/officeDocument/2006/relationships/hyperlink" Target="https://www.gov.scot/publications/included-engaged-involved-part-1-positive-approach-promotion-management-attendance-scottish-schools/" TargetMode="External"/><Relationship Id="rId64" Type="http://schemas.openxmlformats.org/officeDocument/2006/relationships/hyperlink" Target="https://sportscotland.org.uk/about-us/sport-for-life-2020/" TargetMode="External"/><Relationship Id="rId69" Type="http://schemas.openxmlformats.org/officeDocument/2006/relationships/hyperlink" Target="https://www.gov.scot/publications/criteria-healthcare-retail-standard/" TargetMode="External"/><Relationship Id="rId77" Type="http://schemas.openxmlformats.org/officeDocument/2006/relationships/hyperlink" Target="https://www.gov.scot/policies/maternal-and-child-health/free-school-meals/" TargetMode="External"/><Relationship Id="rId8" Type="http://schemas.openxmlformats.org/officeDocument/2006/relationships/webSettings" Target="webSettings.xml"/><Relationship Id="rId51" Type="http://schemas.openxmlformats.org/officeDocument/2006/relationships/hyperlink" Target="https://www.gov.scot/binaries/content/documents/govscot/publications/strategy-plan/2012/10/national-parenting-strategy-making-positive-difference-children-young-people-through/documents/00403769-pdf/00403769-pdf/govscot%3Adocument/00403769.pdf" TargetMode="External"/><Relationship Id="rId72" Type="http://schemas.openxmlformats.org/officeDocument/2006/relationships/hyperlink" Target="http://www.healthscotland.scot/media/1426/afhs-a-strategic-framework-for-action_june2017_english.pdf" TargetMode="External"/><Relationship Id="rId80" Type="http://schemas.openxmlformats.org/officeDocument/2006/relationships/header" Target="header2.xml"/><Relationship Id="rId85"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hyperlink" Target="http://www.activehealthykids.org" TargetMode="External"/><Relationship Id="rId17" Type="http://schemas.openxmlformats.org/officeDocument/2006/relationships/hyperlink" Target="http://www.activehealthykidsscotland.co.uk" TargetMode="External"/><Relationship Id="rId25" Type="http://schemas.openxmlformats.org/officeDocument/2006/relationships/hyperlink" Target="https://www.sciencedirect.com/science/article/pii/S027795361930053X" TargetMode="External"/><Relationship Id="rId33" Type="http://schemas.openxmlformats.org/officeDocument/2006/relationships/hyperlink" Target="https://www.foodstandards.gov.scot/publications-and-research/publications/national-diet-and-nutrition-survey-rolling-programme-results-from-years-1-4" TargetMode="External"/><Relationship Id="rId38" Type="http://schemas.openxmlformats.org/officeDocument/2006/relationships/hyperlink" Target="https://www.foodstandards.gov.scot/downloads/Situation_report_-_the_Scottish_diet_-_it_needs_to_change_-_2018_update_FINAL.pdf" TargetMode="External"/><Relationship Id="rId46" Type="http://schemas.openxmlformats.org/officeDocument/2006/relationships/hyperlink" Target="http://www.hbsc.org/membership/countries/scotland.html" TargetMode="External"/><Relationship Id="rId59" Type="http://schemas.openxmlformats.org/officeDocument/2006/relationships/hyperlink" Target="https://www.gov.scot/binaries/content/documents/govscot/publications/strategy-plan/2014/06/lets-scotland-walking-national-walking-strategy/documents/00452622-pdf/00452622-pdf/govscot%3Adocument/00452622.pdf" TargetMode="External"/><Relationship Id="rId67" Type="http://schemas.openxmlformats.org/officeDocument/2006/relationships/comments" Target="comments.xml"/><Relationship Id="rId20" Type="http://schemas.openxmlformats.org/officeDocument/2006/relationships/hyperlink" Target="https://www.gov.scot/news/gbp-27m-funding-for-active-travel/" TargetMode="External"/><Relationship Id="rId41" Type="http://schemas.openxmlformats.org/officeDocument/2006/relationships/hyperlink" Target="https://www.gov.scot/publications/scottish-health-survey-2019-volume-2-technical-report/" TargetMode="External"/><Relationship Id="rId54" Type="http://schemas.openxmlformats.org/officeDocument/2006/relationships/hyperlink" Target="https://www.gov.scot/publications/healthier-future-scotlands-diet-healthy-weight-delivery-plan/" TargetMode="External"/><Relationship Id="rId62" Type="http://schemas.openxmlformats.org/officeDocument/2006/relationships/hyperlink" Target="https://www.transport.gov.scot/media/10311/transport-scotland-policy-cycling-action-plan-for-scotland-january-2017.pdf" TargetMode="External"/><Relationship Id="rId70" Type="http://schemas.openxmlformats.org/officeDocument/2006/relationships/hyperlink" Target="https://www.gov.scot/publications/better-eating-better-learning-new-context-school-food/" TargetMode="External"/><Relationship Id="rId75" Type="http://schemas.openxmlformats.org/officeDocument/2006/relationships/hyperlink" Target="https://www.gov.uk/topic/business-tax/soft-drinks-industry-levy"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ctivehealthykids.org" TargetMode="External"/><Relationship Id="rId23" Type="http://schemas.openxmlformats.org/officeDocument/2006/relationships/header" Target="header1.xml"/><Relationship Id="rId28" Type="http://schemas.openxmlformats.org/officeDocument/2006/relationships/hyperlink" Target="https://www.sustrans.org.uk/media/6692/hands-up-scotland-survey-2019_national-summary-report.pdf" TargetMode="External"/><Relationship Id="rId36" Type="http://schemas.openxmlformats.org/officeDocument/2006/relationships/hyperlink" Target="https://www.uib.no/en/hbscdata" TargetMode="External"/><Relationship Id="rId49" Type="http://schemas.openxmlformats.org/officeDocument/2006/relationships/hyperlink" Target="https://www.mentalhealth.org.uk/sites/default/files/MHF_Body-Image2020_Report_ONLINE-VERSION%20%281%29.pdf" TargetMode="External"/><Relationship Id="rId57" Type="http://schemas.openxmlformats.org/officeDocument/2006/relationships/hyperlink" Target="https://www.gov.scot/publications/protecting-scotlands-future-governments-programme-scotland-2019-20/" TargetMode="External"/><Relationship Id="rId10" Type="http://schemas.openxmlformats.org/officeDocument/2006/relationships/endnotes" Target="endnotes.xml"/><Relationship Id="rId31" Type="http://schemas.openxmlformats.org/officeDocument/2006/relationships/hyperlink" Target="https://www.gov.scot/publications/scottish-health-survey-2019-supplementary-tables/" TargetMode="External"/><Relationship Id="rId44" Type="http://schemas.openxmlformats.org/officeDocument/2006/relationships/hyperlink" Target="https://www.gov.scot/publications/scottish-household-survey-2019-annual-report/" TargetMode="External"/><Relationship Id="rId52" Type="http://schemas.openxmlformats.org/officeDocument/2006/relationships/hyperlink" Target="https://education.gov.scot/improvement/learning-resources/realising-the-ambition/" TargetMode="External"/><Relationship Id="rId60" Type="http://schemas.openxmlformats.org/officeDocument/2006/relationships/hyperlink" Target="https://www.gov.scot/publications/active-scotland-delivery-plan/" TargetMode="External"/><Relationship Id="rId65" Type="http://schemas.openxmlformats.org/officeDocument/2006/relationships/hyperlink" Target="https://www.playscotland.org/resources/print/Scotland-Play-Strategy-Action-Plan.pdf?plsctml_id=18546" TargetMode="External"/><Relationship Id="rId73" Type="http://schemas.openxmlformats.org/officeDocument/2006/relationships/hyperlink" Target="https://www.gov.scot/publications/recipe-success-scotlands-national-food-drink-policy-becoming-good-food/" TargetMode="External"/><Relationship Id="rId78" Type="http://schemas.openxmlformats.org/officeDocument/2006/relationships/hyperlink" Target="https://www.gov.scot/publications/healthier-future-scotlands-diet-healthy-weight-delivery-plan/"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ctivehealthykidsscotland.co.uk" TargetMode="External"/><Relationship Id="rId18" Type="http://schemas.openxmlformats.org/officeDocument/2006/relationships/hyperlink" Target="http://www.activehealthykidsscotland.co.uk" TargetMode="External"/><Relationship Id="rId39" Type="http://schemas.openxmlformats.org/officeDocument/2006/relationships/hyperlink" Target="https://www.gov.scot/binaries/content/documents/govscot/publications/statistics/2020/09/scottish-health-survey-2019-volume-1-main-report/documents/scottish-health-survey-2019-edition-volume-1-main-report/scottish-health-survey-2019-edition-volume-1-main-report/govscot%3Adocument/scottish-health-survey-2019-edition-volume-1-main-report.pdf?forceDownload=true" TargetMode="External"/><Relationship Id="rId34" Type="http://schemas.openxmlformats.org/officeDocument/2006/relationships/hyperlink" Target="https://www.gov.uk/government/statistics/ndns-time-trend-and-income-analyses-for-years-1-to-9" TargetMode="External"/><Relationship Id="rId50" Type="http://schemas.openxmlformats.org/officeDocument/2006/relationships/hyperlink" Target="https://www.inspiringscotland.org.uk/wp-content/uploads/2021/03/National-Position-Statement-Dec-2020.pdf" TargetMode="External"/><Relationship Id="rId55" Type="http://schemas.openxmlformats.org/officeDocument/2006/relationships/hyperlink" Target="https://www.gov.scot/binaries/content/documents/govscot/publications/corporate-report/2018/06/scotlands-public-health-priorities/documents/00536757-pdf/00536757-pdf/govscot%3Adocument/00536757.pdf?forceDownload=true" TargetMode="External"/><Relationship Id="rId76" Type="http://schemas.openxmlformats.org/officeDocument/2006/relationships/hyperlink" Target="https://www.gov.uk/government/publications/finance-bill-2017-legislation-and-explanatory-notes" TargetMode="External"/><Relationship Id="rId7" Type="http://schemas.openxmlformats.org/officeDocument/2006/relationships/settings" Target="settings.xml"/><Relationship Id="rId71" Type="http://schemas.openxmlformats.org/officeDocument/2006/relationships/hyperlink" Target="https://www.gov.scot/publications/beyond-school-gate-improving-food-choices-school-community/" TargetMode="External"/><Relationship Id="rId2" Type="http://schemas.openxmlformats.org/officeDocument/2006/relationships/customXml" Target="../customXml/item2.xml"/><Relationship Id="rId29" Type="http://schemas.openxmlformats.org/officeDocument/2006/relationships/hyperlink" Target="https://www.transport.gov.scot/media/48317/sct09201490081.pdf" TargetMode="External"/><Relationship Id="rId24" Type="http://schemas.openxmlformats.org/officeDocument/2006/relationships/hyperlink" Target="https://www.gov.scot/collections/scottish-health-survey/" TargetMode="External"/><Relationship Id="rId40" Type="http://schemas.openxmlformats.org/officeDocument/2006/relationships/hyperlink" Target="https://www.gov.scot/publications/scottish-health-survey-2019-supplementary-tables/" TargetMode="External"/><Relationship Id="rId45" Type="http://schemas.openxmlformats.org/officeDocument/2006/relationships/hyperlink" Target="https://www.gov.scot/publications/scotlands-people-annual-report-results-2018-scottish-household-survey/" TargetMode="External"/><Relationship Id="rId66" Type="http://schemas.openxmlformats.org/officeDocument/2006/relationships/hyperlink" Target="https://www.playscotland.org/resources/print/Play-Scotland-Play-Strategy-Review-2020.pdf?plsctml_id=20940" TargetMode="External"/><Relationship Id="rId61" Type="http://schemas.openxmlformats.org/officeDocument/2006/relationships/hyperlink" Target="https://scotlandscurriculum.scot/" TargetMode="External"/><Relationship Id="rId8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83D9FE9D564C45AF40BEDAD89A8987" ma:contentTypeVersion="12" ma:contentTypeDescription="Create a new document." ma:contentTypeScope="" ma:versionID="37803b9ac9682fa6dfc75ef43943b02c">
  <xsd:schema xmlns:xsd="http://www.w3.org/2001/XMLSchema" xmlns:xs="http://www.w3.org/2001/XMLSchema" xmlns:p="http://schemas.microsoft.com/office/2006/metadata/properties" xmlns:ns3="5250f415-2124-4ea0-b6b4-fe6419c50266" xmlns:ns4="a988398a-3931-445e-8300-0e4cb750a0dd" targetNamespace="http://schemas.microsoft.com/office/2006/metadata/properties" ma:root="true" ma:fieldsID="9de9d9b2718be1f08f23b2183be73767" ns3:_="" ns4:_="">
    <xsd:import namespace="5250f415-2124-4ea0-b6b4-fe6419c50266"/>
    <xsd:import namespace="a988398a-3931-445e-8300-0e4cb750a0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0f415-2124-4ea0-b6b4-fe6419c50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8398a-3931-445e-8300-0e4cb750a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2326F-C844-4329-987A-E29FBD42DC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CBEEAA-1E39-4488-B2F6-29715A529D90}">
  <ds:schemaRefs>
    <ds:schemaRef ds:uri="http://schemas.microsoft.com/sharepoint/v3/contenttype/forms"/>
  </ds:schemaRefs>
</ds:datastoreItem>
</file>

<file path=customXml/itemProps3.xml><?xml version="1.0" encoding="utf-8"?>
<ds:datastoreItem xmlns:ds="http://schemas.openxmlformats.org/officeDocument/2006/customXml" ds:itemID="{3F651EDB-040B-4340-8AB7-23C7186B1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0f415-2124-4ea0-b6b4-fe6419c50266"/>
    <ds:schemaRef ds:uri="a988398a-3931-445e-8300-0e4cb750a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05E07-6E43-4230-A176-15EA5E1E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16090</Words>
  <Characters>91719</Characters>
  <Application>Microsoft Office Word</Application>
  <DocSecurity>0</DocSecurity>
  <Lines>764</Lines>
  <Paragraphs>215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Indicator 1: Sedentary Behaviours</vt:lpstr>
      <vt:lpstr>Indicator 2: Overall Physical Activity of Moderate-to-Vigorous Intensity (MVPA)</vt:lpstr>
      <vt:lpstr>Indicator 3: Organised Sport and Physical Activity</vt:lpstr>
      <vt:lpstr>Indicator 4: Active Play</vt:lpstr>
      <vt:lpstr>Indicator 5: Active Transportation</vt:lpstr>
      <vt:lpstr>Indicator 6: Physical Fitness</vt:lpstr>
      <vt:lpstr>Indicator 7: Diet </vt:lpstr>
      <vt:lpstr>Indicator 8: Obesity</vt:lpstr>
      <vt:lpstr>Indicator 9: Family and Peers</vt:lpstr>
      <vt:lpstr>Indicator 10: Community and Environment</vt:lpstr>
      <vt:lpstr>Indicator 11 Government (Physical activity and Diet)</vt:lpstr>
    </vt:vector>
  </TitlesOfParts>
  <Company/>
  <LinksUpToDate>false</LinksUpToDate>
  <CharactersWithSpaces>107594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Reilly</dc:creator>
  <cp:keywords/>
  <dc:description/>
  <cp:lastModifiedBy>John Reilly</cp:lastModifiedBy>
  <cp:revision>2</cp:revision>
  <dcterms:created xsi:type="dcterms:W3CDTF">2021-05-27T14:36:00Z</dcterms:created>
  <dcterms:modified xsi:type="dcterms:W3CDTF">2021-05-27T14:36:00Z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0x0101001283D9FE9D564C45AF40BEDAD89A8987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http://www.zotero.org/styles/journal-of-science-and-medicine-in-sport</vt:lpwstr>
  </property>
  <property fmtid="{D5CDD505-2E9C-101B-9397-08002B2CF9AE}" pid="18" name="Mendeley Recent Style Name 7_1">
    <vt:lpwstr>Journal of Science and Medicine in Sport</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http://www.zotero.org/styles/scandinavian-journal-of-medicine-and-science-in-sports</vt:lpwstr>
  </property>
  <property fmtid="{D5CDD505-2E9C-101B-9397-08002B2CF9AE}" pid="22" name="Mendeley Recent Style Name 9_1">
    <vt:lpwstr>Scandinavian Journal of Medicine &amp; Science in Sports</vt:lpwstr>
  </property>
</Properties>
</file>